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0C6D9" w14:textId="1CDA0A23" w:rsidR="00732992" w:rsidRPr="00E259F4" w:rsidRDefault="00E259F4" w:rsidP="00E259F4">
      <w:pPr>
        <w:rPr>
          <w:b/>
          <w:bCs/>
          <w:i/>
          <w:iCs/>
          <w:color w:val="4472C4" w:themeColor="accent1"/>
          <w:sz w:val="18"/>
          <w:szCs w:val="18"/>
        </w:rPr>
      </w:pPr>
      <w:r w:rsidRPr="00822F3B">
        <w:rPr>
          <w:b/>
          <w:bCs/>
          <w:i/>
          <w:iCs/>
          <w:color w:val="4472C4" w:themeColor="accent1"/>
          <w:sz w:val="18"/>
          <w:szCs w:val="18"/>
        </w:rPr>
        <w:t>Aviation-Industry-News</w:t>
      </w:r>
      <w:r w:rsidR="006147CC">
        <w:rPr>
          <w:b/>
          <w:bCs/>
          <w:color w:val="00B0F0"/>
          <w:sz w:val="28"/>
          <w:szCs w:val="28"/>
        </w:rPr>
        <w:t xml:space="preserve">       </w:t>
      </w:r>
    </w:p>
    <w:p w14:paraId="7146763D" w14:textId="13C80E62" w:rsidR="00080E6D" w:rsidRPr="001B4A47" w:rsidRDefault="00E259F4" w:rsidP="008B3F3C">
      <w:pPr>
        <w:ind w:left="1416" w:firstLine="708"/>
        <w:rPr>
          <w:b/>
          <w:bCs/>
          <w:color w:val="00B0F0"/>
          <w:sz w:val="28"/>
          <w:szCs w:val="28"/>
        </w:rPr>
      </w:pPr>
      <w:r>
        <w:rPr>
          <w:b/>
          <w:bCs/>
          <w:color w:val="00B0F0"/>
          <w:sz w:val="28"/>
          <w:szCs w:val="28"/>
        </w:rPr>
        <w:t xml:space="preserve">      </w:t>
      </w:r>
      <w:r w:rsidR="00365DF0" w:rsidRPr="001B4A47">
        <w:rPr>
          <w:b/>
          <w:bCs/>
          <w:color w:val="00B0F0"/>
          <w:sz w:val="28"/>
          <w:szCs w:val="28"/>
        </w:rPr>
        <w:t xml:space="preserve">ROMA/MILANO E </w:t>
      </w:r>
      <w:r w:rsidR="001B4A47" w:rsidRPr="001B4A47">
        <w:rPr>
          <w:b/>
          <w:bCs/>
          <w:color w:val="00B0F0"/>
          <w:sz w:val="28"/>
          <w:szCs w:val="28"/>
        </w:rPr>
        <w:t>LA ITA AIRWAYS</w:t>
      </w:r>
    </w:p>
    <w:p w14:paraId="591D0563" w14:textId="632BC6DD" w:rsidR="00FB5A2B" w:rsidRDefault="00FB5A2B" w:rsidP="00157D3A">
      <w:pPr>
        <w:spacing w:after="0"/>
      </w:pPr>
      <w:r>
        <w:t xml:space="preserve">I due maggiori  sistemi aeroportuali italiani hanno una particolarità unica al mondo:  quella di non poter contare -quale maggiore </w:t>
      </w:r>
      <w:r w:rsidR="00741CCF">
        <w:t>apporto</w:t>
      </w:r>
      <w:r>
        <w:t xml:space="preserve"> di traffico- </w:t>
      </w:r>
      <w:r w:rsidR="00651722">
        <w:t>su</w:t>
      </w:r>
      <w:r>
        <w:t xml:space="preserve"> un consolidato vettore di bandiera nazionale. Ovunque ci si rigiri in Europa (e non solo) uno sguardo agli </w:t>
      </w:r>
      <w:r w:rsidRPr="00FB5A2B">
        <w:rPr>
          <w:i/>
          <w:iCs/>
        </w:rPr>
        <w:t>Annual Reports</w:t>
      </w:r>
      <w:r>
        <w:t xml:space="preserve"> delle società di gestione aeroportuale mette in chiara evidenza che è sempre il vettore nazionale (quello che una volta veniva denominato “di bandiera”) il numero uno in termini di traffico fornito.</w:t>
      </w:r>
      <w:r w:rsidR="00F316A7">
        <w:t xml:space="preserve"> Ma da noi l</w:t>
      </w:r>
      <w:r w:rsidR="003502D5">
        <w:t xml:space="preserve">e traversie cui ci ha abituato il nostro maggior vettore aereo nazionale hanno creato una situazione </w:t>
      </w:r>
      <w:r w:rsidR="007C588B">
        <w:t>davvero unica.</w:t>
      </w:r>
    </w:p>
    <w:p w14:paraId="76899F90" w14:textId="50FBDCDB" w:rsidR="001C65D8" w:rsidRDefault="001C65D8">
      <w:r>
        <w:t xml:space="preserve">Prendiamo ad esempio </w:t>
      </w:r>
      <w:r w:rsidR="009D7B1E">
        <w:t>l’aeroporto di Schiphol ad Amsterdam e diamo uno sguardo ai vettori che forniscono traffico. Chi troviamo al primo posto?</w:t>
      </w:r>
    </w:p>
    <w:p w14:paraId="6F3D3ACE" w14:textId="5B7DC1C0" w:rsidR="009D7B1E" w:rsidRDefault="009D7B1E">
      <w:r w:rsidRPr="009D7B1E">
        <w:rPr>
          <w:noProof/>
          <w:bdr w:val="single" w:sz="12" w:space="0" w:color="auto"/>
        </w:rPr>
        <w:drawing>
          <wp:inline distT="0" distB="0" distL="0" distR="0" wp14:anchorId="71124520" wp14:editId="2EB781D0">
            <wp:extent cx="1702800" cy="3081600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800" cy="30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6DF1">
        <w:t xml:space="preserve"> </w:t>
      </w:r>
      <w:r w:rsidR="00396DF1" w:rsidRPr="00396DF1">
        <w:rPr>
          <w:i/>
          <w:iCs/>
          <w:color w:val="00B050"/>
          <w:sz w:val="18"/>
          <w:szCs w:val="18"/>
        </w:rPr>
        <w:t>Tabella 1</w:t>
      </w:r>
    </w:p>
    <w:p w14:paraId="38701CA8" w14:textId="2FCB2A8B" w:rsidR="00CE53F0" w:rsidRDefault="00CE53F0">
      <w:r>
        <w:t>Su un totale di 397.600 passeggeri movimentati nel 2022</w:t>
      </w:r>
      <w:r w:rsidR="00B94A39">
        <w:t xml:space="preserve"> </w:t>
      </w:r>
      <w:r w:rsidR="000B75D6">
        <w:t>nel principale scalo dei Paesi Bassi</w:t>
      </w:r>
      <w:r>
        <w:t>, duecen</w:t>
      </w:r>
      <w:r w:rsidR="00FA16D4">
        <w:t>t</w:t>
      </w:r>
      <w:r>
        <w:t>omila (</w:t>
      </w:r>
      <w:r w:rsidR="00FA16D4">
        <w:t xml:space="preserve">in pratica </w:t>
      </w:r>
      <w:r>
        <w:t xml:space="preserve">pari al </w:t>
      </w:r>
      <w:r w:rsidR="002D2A86">
        <w:t>50%) vengono da Klm.</w:t>
      </w:r>
      <w:r w:rsidR="00630EC9">
        <w:t xml:space="preserve"> Crediamo superfluo mostrarvi  le tabelle traffico di Londra, Parigi, Francoforte…vi basti sapere che anche ad Atene la Aegean Airlines, vettore greco nato dopo la scomparsa della </w:t>
      </w:r>
      <w:r w:rsidR="00630EC9" w:rsidRPr="00FA16D4">
        <w:rPr>
          <w:i/>
          <w:iCs/>
        </w:rPr>
        <w:t>Olympic</w:t>
      </w:r>
      <w:r w:rsidR="00B70A39">
        <w:t>, viene prima di Ryanair</w:t>
      </w:r>
      <w:r w:rsidR="00843DD7">
        <w:t xml:space="preserve"> nelle graduatorie di mercato</w:t>
      </w:r>
      <w:r w:rsidR="00B70A39">
        <w:t>:</w:t>
      </w:r>
    </w:p>
    <w:p w14:paraId="26A66844" w14:textId="4296E868" w:rsidR="00B70A39" w:rsidRDefault="00B70A39">
      <w:pPr>
        <w:rPr>
          <w:color w:val="FF0000"/>
          <w:sz w:val="16"/>
          <w:szCs w:val="16"/>
        </w:rPr>
      </w:pPr>
      <w:r>
        <w:t>Dalle ricerche del sito</w:t>
      </w:r>
      <w:r w:rsidRPr="00B70A39">
        <w:t xml:space="preserve"> </w:t>
      </w:r>
      <w:r w:rsidRPr="00B70A39">
        <w:rPr>
          <w:i/>
          <w:iCs/>
        </w:rPr>
        <w:t>ch-aviation</w:t>
      </w:r>
      <w:r w:rsidRPr="00B70A39">
        <w:t xml:space="preserve"> </w:t>
      </w:r>
      <w:r>
        <w:t xml:space="preserve">si </w:t>
      </w:r>
      <w:r w:rsidRPr="00B70A39">
        <w:t xml:space="preserve">evidenzia che </w:t>
      </w:r>
      <w:r w:rsidRPr="00AD6600">
        <w:rPr>
          <w:i/>
          <w:iCs/>
        </w:rPr>
        <w:t>“Ryanair è il terzo vettore per capacità settimanale di linea con una quota di mercato del 6,3%, dopo Aegean Airlines e SKY Express (Grecia). La quota di mercato d</w:t>
      </w:r>
      <w:r w:rsidR="004669F2">
        <w:rPr>
          <w:i/>
          <w:iCs/>
        </w:rPr>
        <w:t>i Ryanair</w:t>
      </w:r>
      <w:r w:rsidRPr="00AD6600">
        <w:rPr>
          <w:i/>
          <w:iCs/>
        </w:rPr>
        <w:t xml:space="preserve"> sulle rotte internazionali è del 7,5%, seconda solo ad Aegean Airlines. Tuttavia, la quota di mercato è guidata dalla rete stagionale di Ryanair verso le isole greche. Nel solo aeroporto di Atene, la LCC detiene una quota di mercato del 3,7%.”</w:t>
      </w:r>
      <w:r>
        <w:t xml:space="preserve"> </w:t>
      </w:r>
      <w:r w:rsidRPr="00B70A39">
        <w:rPr>
          <w:color w:val="FF0000"/>
          <w:sz w:val="16"/>
          <w:szCs w:val="16"/>
        </w:rPr>
        <w:t>(</w:t>
      </w:r>
      <w:r w:rsidR="00704DCC">
        <w:rPr>
          <w:color w:val="FF0000"/>
          <w:sz w:val="16"/>
          <w:szCs w:val="16"/>
        </w:rPr>
        <w:t>1</w:t>
      </w:r>
      <w:r w:rsidRPr="00B70A39">
        <w:rPr>
          <w:color w:val="FF0000"/>
          <w:sz w:val="16"/>
          <w:szCs w:val="16"/>
        </w:rPr>
        <w:t>)</w:t>
      </w:r>
    </w:p>
    <w:p w14:paraId="3A7AEE5E" w14:textId="24EF8A51" w:rsidR="00FA16D4" w:rsidRDefault="001E2737">
      <w:r w:rsidRPr="001E2737">
        <w:t>A questo punto sorge spontanea una domanda</w:t>
      </w:r>
      <w:r w:rsidR="008F03CE">
        <w:t xml:space="preserve">: questo “gap”, questa mancanza che potremmo definire </w:t>
      </w:r>
      <w:r w:rsidR="00AD6600">
        <w:t>una peculiarità</w:t>
      </w:r>
      <w:r w:rsidR="003874CC">
        <w:t xml:space="preserve"> tutta</w:t>
      </w:r>
      <w:r w:rsidR="00AD6600">
        <w:t xml:space="preserve"> italiana</w:t>
      </w:r>
      <w:r w:rsidR="00951130">
        <w:t>, quali effetti ha sui risultati operativi di SEA (Milano) e di ADR (Roma)?</w:t>
      </w:r>
    </w:p>
    <w:p w14:paraId="1F7AF1AB" w14:textId="0CA114CD" w:rsidR="00396DA0" w:rsidRDefault="00396DA0">
      <w:r>
        <w:t xml:space="preserve">Dal momento che nel 2022 il traffico aereo è </w:t>
      </w:r>
      <w:r w:rsidR="003874CC">
        <w:t>tornato a ritmi pressoch</w:t>
      </w:r>
      <w:r w:rsidR="00342D67">
        <w:t>é</w:t>
      </w:r>
      <w:r w:rsidR="003874CC">
        <w:t xml:space="preserve"> normali</w:t>
      </w:r>
      <w:r w:rsidR="00342D67">
        <w:t xml:space="preserve"> </w:t>
      </w:r>
      <w:r w:rsidR="002B04F7">
        <w:t>possiamo partire da questo anno</w:t>
      </w:r>
      <w:r w:rsidR="005516DB">
        <w:t>,</w:t>
      </w:r>
      <w:r w:rsidR="002B04F7">
        <w:t xml:space="preserve"> </w:t>
      </w:r>
      <w:r w:rsidR="003A12A3">
        <w:t>an</w:t>
      </w:r>
      <w:r w:rsidR="002B04F7">
        <w:t>che</w:t>
      </w:r>
      <w:r w:rsidR="003A12A3">
        <w:t xml:space="preserve"> prendendo spunto</w:t>
      </w:r>
      <w:r w:rsidR="005516DB">
        <w:t xml:space="preserve"> dal fatto che il 2022</w:t>
      </w:r>
      <w:r w:rsidR="002B04F7">
        <w:t xml:space="preserve"> è </w:t>
      </w:r>
      <w:r w:rsidR="005516DB">
        <w:t>stato</w:t>
      </w:r>
      <w:r w:rsidR="002B04F7">
        <w:t xml:space="preserve"> il primo in cui la nuova compagnia italiana ITA Airways</w:t>
      </w:r>
      <w:r w:rsidR="00D01165">
        <w:t xml:space="preserve"> </w:t>
      </w:r>
      <w:r w:rsidR="00D01165" w:rsidRPr="00704DCC">
        <w:rPr>
          <w:color w:val="FF0000"/>
          <w:sz w:val="16"/>
          <w:szCs w:val="16"/>
        </w:rPr>
        <w:t>(2)</w:t>
      </w:r>
      <w:r w:rsidR="002B04F7" w:rsidRPr="00704DCC">
        <w:rPr>
          <w:color w:val="FF0000"/>
        </w:rPr>
        <w:t xml:space="preserve"> </w:t>
      </w:r>
      <w:r w:rsidR="002B04F7">
        <w:t xml:space="preserve">ha </w:t>
      </w:r>
      <w:r w:rsidR="00D01165">
        <w:t>operato per 12 mesi completi</w:t>
      </w:r>
      <w:r w:rsidR="00C017A0">
        <w:t xml:space="preserve"> permettendoci così di</w:t>
      </w:r>
      <w:r w:rsidR="00704DCC">
        <w:t xml:space="preserve"> analizzare i risultati raggiunt</w:t>
      </w:r>
      <w:r w:rsidR="009E68EA">
        <w:t>i dai due gruppi</w:t>
      </w:r>
      <w:r w:rsidR="00366DA9">
        <w:t xml:space="preserve"> aeroportuali</w:t>
      </w:r>
      <w:r w:rsidR="00FB0F96">
        <w:t xml:space="preserve"> con l</w:t>
      </w:r>
      <w:r w:rsidR="005C6470">
        <w:t>’apporto</w:t>
      </w:r>
      <w:r w:rsidR="00B7432F">
        <w:t xml:space="preserve"> appunto</w:t>
      </w:r>
      <w:r w:rsidR="005C6470">
        <w:t xml:space="preserve"> di </w:t>
      </w:r>
      <w:r w:rsidR="00B7432F">
        <w:t>un anno completo</w:t>
      </w:r>
      <w:r w:rsidR="00076A9D">
        <w:t xml:space="preserve"> di operazioni dell</w:t>
      </w:r>
      <w:r w:rsidR="00FB0F96">
        <w:t>a principale compagnia aerea italiana</w:t>
      </w:r>
      <w:r w:rsidR="00076A9D">
        <w:t>.</w:t>
      </w:r>
    </w:p>
    <w:p w14:paraId="64449B40" w14:textId="5FF10331" w:rsidR="00844B75" w:rsidRDefault="00076A9D">
      <w:r>
        <w:lastRenderedPageBreak/>
        <w:t>P</w:t>
      </w:r>
      <w:r w:rsidR="002005B3">
        <w:t>rima</w:t>
      </w:r>
      <w:r>
        <w:t xml:space="preserve"> tuttavia</w:t>
      </w:r>
      <w:r w:rsidR="002005B3">
        <w:t xml:space="preserve"> di analiz</w:t>
      </w:r>
      <w:r w:rsidR="002B383F">
        <w:t>z</w:t>
      </w:r>
      <w:r w:rsidR="002005B3">
        <w:t xml:space="preserve">are i conti delle due società </w:t>
      </w:r>
      <w:r w:rsidR="00B516C1">
        <w:t>vogliamo subito avvertire</w:t>
      </w:r>
      <w:r w:rsidR="005E2C59">
        <w:t xml:space="preserve"> che ITA Airways nel 2022 h</w:t>
      </w:r>
      <w:r w:rsidR="00B516C1">
        <w:t>a</w:t>
      </w:r>
      <w:r w:rsidR="005E2C59">
        <w:t xml:space="preserve"> dichiarato di aver</w:t>
      </w:r>
      <w:r w:rsidR="00B516C1">
        <w:t xml:space="preserve"> </w:t>
      </w:r>
      <w:r w:rsidR="005E2C59">
        <w:t>trasportato 10.1 milioni di passeggeri.</w:t>
      </w:r>
      <w:r w:rsidR="00B516C1">
        <w:t xml:space="preserve"> </w:t>
      </w:r>
      <w:r w:rsidR="00844B75">
        <w:t xml:space="preserve">Dal momento che ADR su Fiumicino </w:t>
      </w:r>
      <w:r w:rsidR="00277DA9">
        <w:t xml:space="preserve">ha movimentato 29.3 milioni di passeggeri possiamo subito </w:t>
      </w:r>
      <w:r w:rsidR="002E2552">
        <w:t>affermare</w:t>
      </w:r>
      <w:r w:rsidR="00277DA9">
        <w:t xml:space="preserve"> </w:t>
      </w:r>
      <w:r w:rsidR="00130267">
        <w:t xml:space="preserve">che facendo il confronto con quanto la Klm ha </w:t>
      </w:r>
      <w:r w:rsidR="002E2552">
        <w:t>contribuito su</w:t>
      </w:r>
      <w:r w:rsidR="00130267">
        <w:t xml:space="preserve"> Schiphol, la Ita Airways si trova, come percentuale</w:t>
      </w:r>
      <w:r w:rsidR="002E0DDE">
        <w:t>,</w:t>
      </w:r>
      <w:r w:rsidR="00130267">
        <w:t xml:space="preserve"> molto , ma molto al di sotto</w:t>
      </w:r>
      <w:r w:rsidR="00FF1E8B">
        <w:t>.</w:t>
      </w:r>
    </w:p>
    <w:p w14:paraId="7631978D" w14:textId="28087C22" w:rsidR="00396DF1" w:rsidRPr="00396DF1" w:rsidRDefault="00396DF1" w:rsidP="00396DF1">
      <w:pPr>
        <w:ind w:left="2124" w:firstLine="708"/>
        <w:rPr>
          <w:i/>
          <w:iCs/>
          <w:color w:val="00B050"/>
          <w:sz w:val="18"/>
          <w:szCs w:val="18"/>
        </w:rPr>
      </w:pPr>
      <w:r w:rsidRPr="00396DF1">
        <w:rPr>
          <w:i/>
          <w:iCs/>
          <w:color w:val="00B050"/>
          <w:sz w:val="18"/>
          <w:szCs w:val="18"/>
        </w:rPr>
        <w:t>Tabella 2</w:t>
      </w:r>
      <w:r w:rsidR="00BC19F0">
        <w:rPr>
          <w:i/>
          <w:iCs/>
          <w:color w:val="00B050"/>
          <w:sz w:val="18"/>
          <w:szCs w:val="18"/>
        </w:rPr>
        <w:t>: Movimenti aere</w:t>
      </w:r>
      <w:r w:rsidR="000E4C72">
        <w:rPr>
          <w:i/>
          <w:iCs/>
          <w:color w:val="00B050"/>
          <w:sz w:val="18"/>
          <w:szCs w:val="18"/>
        </w:rPr>
        <w:t>i e passeggeri di ADR</w:t>
      </w:r>
    </w:p>
    <w:p w14:paraId="352609A8" w14:textId="1F1C6573" w:rsidR="00277DA9" w:rsidRDefault="006C07A8" w:rsidP="00211162">
      <w:pPr>
        <w:jc w:val="center"/>
      </w:pPr>
      <w:r w:rsidRPr="006C07A8">
        <w:rPr>
          <w:noProof/>
          <w:bdr w:val="single" w:sz="12" w:space="0" w:color="auto"/>
        </w:rPr>
        <w:drawing>
          <wp:inline distT="0" distB="0" distL="0" distR="0" wp14:anchorId="4A3205F5" wp14:editId="76FF2013">
            <wp:extent cx="2995200" cy="1519200"/>
            <wp:effectExtent l="0" t="0" r="0" b="508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5200" cy="15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F8368B">
        <w:rPr>
          <w:color w:val="FF0000"/>
          <w:sz w:val="16"/>
          <w:szCs w:val="16"/>
        </w:rPr>
        <w:t>(3)</w:t>
      </w:r>
    </w:p>
    <w:p w14:paraId="516ECC80" w14:textId="5DA20692" w:rsidR="007C3FC4" w:rsidRDefault="008E7F42" w:rsidP="000E4C72">
      <w:pPr>
        <w:spacing w:after="0"/>
      </w:pPr>
      <w:r>
        <w:t>D</w:t>
      </w:r>
      <w:r w:rsidR="004B07FF">
        <w:t>u</w:t>
      </w:r>
      <w:r>
        <w:t>nque per la società ADR</w:t>
      </w:r>
      <w:r w:rsidR="007C3FC4">
        <w:t>, la quale comprende i due scali di Fiumicino e Ciampino, l'anno si è chiuso con un utile operativo consolidato di 131,9 milioni di euro (perdita operativa di -45,9 milioni di euro nell'anno precedente) e con un utile di 45,1 milioni di euro, rispetto alla perdita di 38,0 milioni di euro</w:t>
      </w:r>
      <w:r w:rsidR="007F6F8A">
        <w:t xml:space="preserve"> registrata</w:t>
      </w:r>
      <w:r w:rsidR="007C3FC4">
        <w:t xml:space="preserve"> nel 2021. </w:t>
      </w:r>
    </w:p>
    <w:p w14:paraId="0DD8DEE3" w14:textId="410B43F1" w:rsidR="00586772" w:rsidRDefault="00586772" w:rsidP="007C3FC4">
      <w:r>
        <w:t>In particolare come possiamo vedere dalla sottostante tabella</w:t>
      </w:r>
      <w:r w:rsidR="002356C5">
        <w:t xml:space="preserve">, </w:t>
      </w:r>
      <w:r w:rsidR="009D5F2F">
        <w:t>le entrate sono sommate a</w:t>
      </w:r>
      <w:r w:rsidR="00BF3326">
        <w:t xml:space="preserve"> 807 milioni di euro, le uscite a </w:t>
      </w:r>
      <w:r w:rsidR="00AC7211">
        <w:t>508 milioni.</w:t>
      </w:r>
    </w:p>
    <w:p w14:paraId="313D97A5" w14:textId="107AAB1F" w:rsidR="00396DF1" w:rsidRPr="00396DF1" w:rsidRDefault="00396DF1" w:rsidP="00396DF1">
      <w:pPr>
        <w:ind w:left="2124" w:firstLine="708"/>
        <w:rPr>
          <w:i/>
          <w:iCs/>
          <w:color w:val="00B050"/>
          <w:sz w:val="18"/>
          <w:szCs w:val="18"/>
        </w:rPr>
      </w:pPr>
      <w:r w:rsidRPr="00396DF1">
        <w:rPr>
          <w:i/>
          <w:iCs/>
          <w:color w:val="00B050"/>
          <w:sz w:val="18"/>
          <w:szCs w:val="18"/>
        </w:rPr>
        <w:t>Tabella 3</w:t>
      </w:r>
      <w:r w:rsidR="00EC40A0">
        <w:rPr>
          <w:i/>
          <w:iCs/>
          <w:color w:val="00B050"/>
          <w:sz w:val="18"/>
          <w:szCs w:val="18"/>
        </w:rPr>
        <w:t>: Performance finanziaria di ADR</w:t>
      </w:r>
    </w:p>
    <w:p w14:paraId="71718C3F" w14:textId="68277BE5" w:rsidR="002356C5" w:rsidRPr="00DF19A3" w:rsidRDefault="002356C5" w:rsidP="002356C5">
      <w:pPr>
        <w:jc w:val="center"/>
        <w:rPr>
          <w:sz w:val="16"/>
          <w:szCs w:val="16"/>
        </w:rPr>
      </w:pPr>
      <w:r w:rsidRPr="002356C5">
        <w:rPr>
          <w:noProof/>
          <w:bdr w:val="single" w:sz="12" w:space="0" w:color="auto"/>
        </w:rPr>
        <w:drawing>
          <wp:inline distT="0" distB="0" distL="0" distR="0" wp14:anchorId="566283D9" wp14:editId="3A910D21">
            <wp:extent cx="2552400" cy="2473200"/>
            <wp:effectExtent l="0" t="0" r="635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400" cy="2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689E">
        <w:rPr>
          <w:sz w:val="16"/>
          <w:szCs w:val="16"/>
        </w:rPr>
        <w:t xml:space="preserve"> </w:t>
      </w:r>
      <w:r w:rsidR="00DF19A3" w:rsidRPr="009E689E">
        <w:rPr>
          <w:color w:val="FF0000"/>
          <w:sz w:val="16"/>
          <w:szCs w:val="16"/>
        </w:rPr>
        <w:t>(</w:t>
      </w:r>
      <w:r w:rsidR="009E689E" w:rsidRPr="009E689E">
        <w:rPr>
          <w:color w:val="FF0000"/>
          <w:sz w:val="16"/>
          <w:szCs w:val="16"/>
        </w:rPr>
        <w:t>4)</w:t>
      </w:r>
    </w:p>
    <w:p w14:paraId="22A82AEF" w14:textId="2341DB86" w:rsidR="007C3FC4" w:rsidRDefault="00AC7211" w:rsidP="007C3FC4">
      <w:r>
        <w:t>Da mettere in evidenza la natura delle entrate</w:t>
      </w:r>
      <w:r w:rsidR="00FD52EE">
        <w:t>;</w:t>
      </w:r>
      <w:r w:rsidR="00FB3DA3">
        <w:t xml:space="preserve"> </w:t>
      </w:r>
      <w:r w:rsidR="00FC4D1E">
        <w:t>il 57</w:t>
      </w:r>
      <w:r w:rsidR="00FB3DA3">
        <w:t xml:space="preserve"> per cento di queste sono derivate da </w:t>
      </w:r>
      <w:r w:rsidR="00C42C26" w:rsidRPr="00C42C26">
        <w:rPr>
          <w:i/>
          <w:iCs/>
        </w:rPr>
        <w:t>revenue</w:t>
      </w:r>
      <w:r w:rsidR="00FB3DA3">
        <w:t xml:space="preserve"> prettamente aeronautic</w:t>
      </w:r>
      <w:r w:rsidR="00C42C26">
        <w:t>o</w:t>
      </w:r>
      <w:r w:rsidR="0074440D">
        <w:t>,</w:t>
      </w:r>
      <w:r w:rsidR="004F182A">
        <w:t xml:space="preserve"> </w:t>
      </w:r>
      <w:r w:rsidR="00327975">
        <w:t xml:space="preserve">il 43 per cento proviene invece da entrate </w:t>
      </w:r>
      <w:r w:rsidR="00327975" w:rsidRPr="003F5A57">
        <w:rPr>
          <w:i/>
          <w:iCs/>
        </w:rPr>
        <w:t>non aviation</w:t>
      </w:r>
      <w:r w:rsidR="000E6023">
        <w:t xml:space="preserve"> e operazioni commerciali.</w:t>
      </w:r>
      <w:r w:rsidR="009E689E">
        <w:t xml:space="preserve"> </w:t>
      </w:r>
      <w:r w:rsidR="009E689E" w:rsidRPr="00783860">
        <w:rPr>
          <w:color w:val="FF0000"/>
          <w:sz w:val="16"/>
          <w:szCs w:val="16"/>
        </w:rPr>
        <w:t>(5)</w:t>
      </w:r>
      <w:r w:rsidR="003F5A57" w:rsidRPr="009E689E">
        <w:rPr>
          <w:color w:val="FF0000"/>
        </w:rPr>
        <w:t xml:space="preserve"> </w:t>
      </w:r>
      <w:r w:rsidR="00BB00D6">
        <w:t xml:space="preserve">E’ pressoché inutile fare paragoni con l’anno precedente, il 2021, in quanto esso </w:t>
      </w:r>
      <w:r w:rsidR="003F5A57">
        <w:t>-</w:t>
      </w:r>
      <w:r w:rsidR="00BB00D6">
        <w:t>così come pure il 2020</w:t>
      </w:r>
      <w:r w:rsidR="003F5A57">
        <w:t>-</w:t>
      </w:r>
      <w:r w:rsidR="00BB00D6">
        <w:t xml:space="preserve"> </w:t>
      </w:r>
      <w:r w:rsidR="00A12405">
        <w:t xml:space="preserve">è stato caratterizzato dalla riduzione dei voli  causa pandemia. </w:t>
      </w:r>
    </w:p>
    <w:p w14:paraId="57373106" w14:textId="7F006A4B" w:rsidR="00801040" w:rsidRDefault="00801040" w:rsidP="007C3FC4">
      <w:pPr>
        <w:rPr>
          <w:sz w:val="16"/>
          <w:szCs w:val="16"/>
        </w:rPr>
      </w:pPr>
      <w:r>
        <w:t xml:space="preserve">Secondo quanto afferma l’ACI </w:t>
      </w:r>
      <w:r w:rsidR="00FA4BB4">
        <w:t>Airport</w:t>
      </w:r>
      <w:r w:rsidR="0036244D">
        <w:t>s</w:t>
      </w:r>
      <w:r w:rsidR="00FA4BB4">
        <w:t xml:space="preserve"> Council International, </w:t>
      </w:r>
      <w:r w:rsidR="00FA4BB4" w:rsidRPr="007037C5">
        <w:rPr>
          <w:i/>
          <w:iCs/>
        </w:rPr>
        <w:t>“nel periodo pre-pandemia (2019), le entrate aeronautiche rappresentavano in genere il 54% di tutte le entrate e le attività non aeronautiche il 40%.”</w:t>
      </w:r>
      <w:r w:rsidR="00871FAA">
        <w:rPr>
          <w:i/>
          <w:iCs/>
        </w:rPr>
        <w:t xml:space="preserve"> </w:t>
      </w:r>
      <w:r w:rsidR="00871FAA" w:rsidRPr="00D06E04">
        <w:rPr>
          <w:color w:val="FF0000"/>
          <w:sz w:val="16"/>
          <w:szCs w:val="16"/>
        </w:rPr>
        <w:t>(</w:t>
      </w:r>
      <w:r w:rsidR="00783860">
        <w:rPr>
          <w:color w:val="FF0000"/>
          <w:sz w:val="16"/>
          <w:szCs w:val="16"/>
        </w:rPr>
        <w:t>6</w:t>
      </w:r>
      <w:r w:rsidR="00871FAA" w:rsidRPr="00D06E04">
        <w:rPr>
          <w:color w:val="FF0000"/>
          <w:sz w:val="16"/>
          <w:szCs w:val="16"/>
        </w:rPr>
        <w:t>)</w:t>
      </w:r>
    </w:p>
    <w:p w14:paraId="5AA5CC58" w14:textId="634C8E2C" w:rsidR="00787F6D" w:rsidRDefault="009E309C" w:rsidP="007C3FC4">
      <w:r w:rsidRPr="00873D24">
        <w:t>La ripartizione della tipologia entrate</w:t>
      </w:r>
      <w:r w:rsidR="00D627D1">
        <w:t xml:space="preserve"> di ADR</w:t>
      </w:r>
      <w:r w:rsidR="00873D24">
        <w:t xml:space="preserve"> si allinea quindi con </w:t>
      </w:r>
      <w:r w:rsidR="007A04A2">
        <w:t>la media internazionale</w:t>
      </w:r>
      <w:r w:rsidR="001C5B65">
        <w:t>.</w:t>
      </w:r>
      <w:r w:rsidR="00AC73CB">
        <w:t xml:space="preserve"> </w:t>
      </w:r>
      <w:r w:rsidR="00D50FCC">
        <w:t xml:space="preserve">Se ora ci portiamo </w:t>
      </w:r>
      <w:r w:rsidR="00D657A9">
        <w:t>all’anno 2019, il più recente in termini di “regolarità”</w:t>
      </w:r>
      <w:r w:rsidR="002F5865">
        <w:t>,</w:t>
      </w:r>
      <w:r w:rsidR="00D657A9">
        <w:t xml:space="preserve"> potremo notare interessanti particolari.</w:t>
      </w:r>
      <w:r w:rsidR="002F7DB0">
        <w:t xml:space="preserve"> Innanzitutto l’ammon</w:t>
      </w:r>
      <w:r w:rsidR="00A55C58">
        <w:t>t</w:t>
      </w:r>
      <w:r w:rsidR="002F7DB0">
        <w:t xml:space="preserve">are delle entrate </w:t>
      </w:r>
      <w:r w:rsidR="00A55C58">
        <w:t xml:space="preserve"> era stato nettamente superiore (1.1 miliardo) </w:t>
      </w:r>
    </w:p>
    <w:p w14:paraId="2285E5C6" w14:textId="77777777" w:rsidR="00787F6D" w:rsidRDefault="00787F6D" w:rsidP="007C3FC4"/>
    <w:p w14:paraId="17562EB8" w14:textId="08A4E6F8" w:rsidR="00787F6D" w:rsidRPr="001878B0" w:rsidRDefault="00787F6D" w:rsidP="007C3FC4">
      <w:pPr>
        <w:rPr>
          <w:i/>
          <w:iCs/>
          <w:color w:val="00B050"/>
          <w:sz w:val="18"/>
          <w:szCs w:val="18"/>
        </w:rPr>
      </w:pPr>
      <w:r w:rsidRPr="001878B0">
        <w:rPr>
          <w:i/>
          <w:iCs/>
          <w:color w:val="00B050"/>
          <w:sz w:val="18"/>
          <w:szCs w:val="18"/>
        </w:rPr>
        <w:lastRenderedPageBreak/>
        <w:t xml:space="preserve">Tabella </w:t>
      </w:r>
      <w:r w:rsidR="001878B0" w:rsidRPr="001878B0">
        <w:rPr>
          <w:i/>
          <w:iCs/>
          <w:color w:val="00B050"/>
          <w:sz w:val="18"/>
          <w:szCs w:val="18"/>
        </w:rPr>
        <w:t>4</w:t>
      </w:r>
      <w:r w:rsidR="00A604E4">
        <w:rPr>
          <w:i/>
          <w:iCs/>
          <w:color w:val="00B050"/>
          <w:sz w:val="18"/>
          <w:szCs w:val="18"/>
        </w:rPr>
        <w:t>: Income Statement di ADR nel 2019</w:t>
      </w:r>
    </w:p>
    <w:p w14:paraId="1CDF3869" w14:textId="687E373C" w:rsidR="00787F6D" w:rsidRDefault="00787F6D" w:rsidP="007C3FC4">
      <w:r w:rsidRPr="00D657A9">
        <w:rPr>
          <w:noProof/>
          <w:bdr w:val="single" w:sz="12" w:space="0" w:color="auto"/>
        </w:rPr>
        <w:drawing>
          <wp:inline distT="0" distB="0" distL="0" distR="0" wp14:anchorId="225D8B04" wp14:editId="79AAECAB">
            <wp:extent cx="3736800" cy="27072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6800" cy="27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749C">
        <w:t xml:space="preserve"> </w:t>
      </w:r>
      <w:r w:rsidR="00DC749C" w:rsidRPr="00DC749C">
        <w:rPr>
          <w:color w:val="FF0000"/>
          <w:sz w:val="16"/>
          <w:szCs w:val="16"/>
        </w:rPr>
        <w:t>(7)</w:t>
      </w:r>
    </w:p>
    <w:p w14:paraId="6FCCAB0E" w14:textId="77777777" w:rsidR="00787F6D" w:rsidRDefault="00787F6D" w:rsidP="007C3FC4"/>
    <w:p w14:paraId="5F4642FF" w14:textId="5145B330" w:rsidR="009E309C" w:rsidRDefault="00CB105F" w:rsidP="007C3FC4">
      <w:pPr>
        <w:rPr>
          <w:i/>
          <w:iCs/>
          <w:sz w:val="18"/>
          <w:szCs w:val="18"/>
        </w:rPr>
      </w:pPr>
      <w:r>
        <w:t>e ciò era stato ottenuto</w:t>
      </w:r>
      <w:r w:rsidR="000864FA">
        <w:t>,</w:t>
      </w:r>
      <w:r w:rsidR="00937C3A">
        <w:t xml:space="preserve"> </w:t>
      </w:r>
      <w:r>
        <w:t xml:space="preserve">a fronte di </w:t>
      </w:r>
      <w:r w:rsidR="00DD685D">
        <w:t>362 mila movimenti di aeromobili</w:t>
      </w:r>
      <w:r w:rsidR="00F9734C">
        <w:t xml:space="preserve"> </w:t>
      </w:r>
      <w:r w:rsidR="00F9734C" w:rsidRPr="00F9734C">
        <w:rPr>
          <w:color w:val="FF0000"/>
          <w:sz w:val="16"/>
          <w:szCs w:val="16"/>
        </w:rPr>
        <w:t>(</w:t>
      </w:r>
      <w:r w:rsidR="003B5CC5">
        <w:rPr>
          <w:color w:val="FF0000"/>
          <w:sz w:val="16"/>
          <w:szCs w:val="16"/>
        </w:rPr>
        <w:t>8</w:t>
      </w:r>
      <w:r w:rsidR="00F9734C" w:rsidRPr="00F9734C">
        <w:rPr>
          <w:color w:val="FF0000"/>
          <w:sz w:val="16"/>
          <w:szCs w:val="16"/>
        </w:rPr>
        <w:t>)</w:t>
      </w:r>
      <w:r w:rsidR="00DD685D" w:rsidRPr="00F9734C">
        <w:rPr>
          <w:color w:val="FF0000"/>
        </w:rPr>
        <w:t xml:space="preserve"> </w:t>
      </w:r>
      <w:r w:rsidR="00DD685D">
        <w:t xml:space="preserve">contro i </w:t>
      </w:r>
      <w:r w:rsidR="00953024">
        <w:t>255 mila</w:t>
      </w:r>
      <w:r w:rsidR="009F7106">
        <w:t xml:space="preserve"> </w:t>
      </w:r>
      <w:r w:rsidR="009F7106" w:rsidRPr="009F7106">
        <w:rPr>
          <w:i/>
          <w:iCs/>
          <w:sz w:val="18"/>
          <w:szCs w:val="18"/>
        </w:rPr>
        <w:t>(vedi tabella 2)</w:t>
      </w:r>
      <w:r w:rsidR="00953024">
        <w:t xml:space="preserve"> registrati nel 2022. </w:t>
      </w:r>
    </w:p>
    <w:p w14:paraId="5FB3759E" w14:textId="00A4DA4A" w:rsidR="00A90E7C" w:rsidRDefault="00D919A6" w:rsidP="007C3FC4">
      <w:r>
        <w:t>E’ possibile che nel 2019 Alitalia avesse movimentato</w:t>
      </w:r>
      <w:r w:rsidR="00EF7044">
        <w:t xml:space="preserve"> traffico maggiore, rispetto al 2022, tale da giustificare </w:t>
      </w:r>
      <w:r w:rsidR="00EF0472">
        <w:t xml:space="preserve">per Adr </w:t>
      </w:r>
      <w:r w:rsidR="00880A7D">
        <w:t xml:space="preserve">maggior numero di movimenti e maggiori introiti? </w:t>
      </w:r>
      <w:r w:rsidR="00A2582F">
        <w:t xml:space="preserve"> Alla domanda non </w:t>
      </w:r>
      <w:r w:rsidR="00BD7F06">
        <w:t>possiamo</w:t>
      </w:r>
      <w:r w:rsidR="00A2582F">
        <w:t xml:space="preserve"> dare una risposta certa, in quanto mentre nell’Annual </w:t>
      </w:r>
      <w:r w:rsidR="00F70C8F">
        <w:t>R</w:t>
      </w:r>
      <w:r w:rsidR="00A2582F">
        <w:t xml:space="preserve">eport del 2019 </w:t>
      </w:r>
      <w:r w:rsidR="00F70C8F">
        <w:t>ADR</w:t>
      </w:r>
      <w:r w:rsidR="00A2582F">
        <w:t xml:space="preserve"> presenta l</w:t>
      </w:r>
      <w:r w:rsidR="00033963">
        <w:t>a tabella</w:t>
      </w:r>
      <w:r w:rsidR="00DD18B9">
        <w:t xml:space="preserve"> che segue</w:t>
      </w:r>
      <w:r w:rsidR="00E43A58">
        <w:t xml:space="preserve"> </w:t>
      </w:r>
      <w:r w:rsidR="00E43A58" w:rsidRPr="00282F7D">
        <w:rPr>
          <w:color w:val="FF0000"/>
          <w:sz w:val="16"/>
          <w:szCs w:val="16"/>
        </w:rPr>
        <w:t>(</w:t>
      </w:r>
      <w:r w:rsidR="009B2F61">
        <w:rPr>
          <w:color w:val="FF0000"/>
          <w:sz w:val="16"/>
          <w:szCs w:val="16"/>
        </w:rPr>
        <w:t>9</w:t>
      </w:r>
      <w:r w:rsidR="00E43A58" w:rsidRPr="00282F7D">
        <w:rPr>
          <w:color w:val="FF0000"/>
          <w:sz w:val="16"/>
          <w:szCs w:val="16"/>
        </w:rPr>
        <w:t>)</w:t>
      </w:r>
      <w:r w:rsidR="00DD18B9" w:rsidRPr="00282F7D">
        <w:rPr>
          <w:color w:val="FF0000"/>
        </w:rPr>
        <w:t xml:space="preserve"> </w:t>
      </w:r>
      <w:r w:rsidR="00DD18B9">
        <w:t>la quale</w:t>
      </w:r>
      <w:r w:rsidR="00033963">
        <w:t xml:space="preserve"> </w:t>
      </w:r>
      <w:r w:rsidR="00DD18B9">
        <w:t>fornisce i dettagli</w:t>
      </w:r>
      <w:r w:rsidR="00033963">
        <w:t xml:space="preserve"> </w:t>
      </w:r>
      <w:r w:rsidR="00E43A58">
        <w:t>su</w:t>
      </w:r>
      <w:r w:rsidR="00033963">
        <w:t>i maggiori vettori, ciò non compare nel</w:t>
      </w:r>
      <w:r w:rsidR="00445A6A">
        <w:t xml:space="preserve"> Rapporto Annuale 2022.</w:t>
      </w:r>
    </w:p>
    <w:p w14:paraId="53B7AF46" w14:textId="77777777" w:rsidR="00A90E7C" w:rsidRDefault="00A90E7C" w:rsidP="007C3FC4"/>
    <w:p w14:paraId="1519DF86" w14:textId="02B42337" w:rsidR="00D919A6" w:rsidRPr="00D919A6" w:rsidRDefault="00445A6A" w:rsidP="00A90E7C">
      <w:pPr>
        <w:jc w:val="center"/>
      </w:pPr>
      <w:r w:rsidRPr="00A90E7C">
        <w:rPr>
          <w:noProof/>
          <w:bdr w:val="single" w:sz="12" w:space="0" w:color="auto"/>
        </w:rPr>
        <w:drawing>
          <wp:inline distT="0" distB="0" distL="0" distR="0" wp14:anchorId="0E9E324B" wp14:editId="53B8ECCA">
            <wp:extent cx="3063600" cy="1260000"/>
            <wp:effectExtent l="0" t="0" r="381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6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95D63" w14:textId="6A7359A7" w:rsidR="006E7374" w:rsidRPr="001D0C41" w:rsidRDefault="00C7487F" w:rsidP="007C3FC4">
      <w:pPr>
        <w:rPr>
          <w:u w:val="single"/>
        </w:rPr>
      </w:pPr>
      <w:r>
        <w:t xml:space="preserve">Purtuttavia sempre ricordando che nel 2022 Ita Airways ha </w:t>
      </w:r>
      <w:r w:rsidR="00A53CCA">
        <w:t>tras</w:t>
      </w:r>
      <w:r>
        <w:t>portato dieci milioni di passeggeri</w:t>
      </w:r>
      <w:r w:rsidR="00A53CCA">
        <w:t xml:space="preserve">, mentre nel 2019 </w:t>
      </w:r>
      <w:r w:rsidR="00665013">
        <w:t>Alitalia aveva fornito</w:t>
      </w:r>
      <w:r w:rsidR="0094044E">
        <w:t xml:space="preserve"> </w:t>
      </w:r>
      <w:r w:rsidR="00665013">
        <w:t>16.8 milioni su Fiumicino,</w:t>
      </w:r>
      <w:r w:rsidR="00E50328">
        <w:t xml:space="preserve"> è evidente che</w:t>
      </w:r>
      <w:r w:rsidR="00665013">
        <w:t xml:space="preserve"> per ADR</w:t>
      </w:r>
      <w:r w:rsidR="00E50328">
        <w:t xml:space="preserve"> </w:t>
      </w:r>
      <w:r w:rsidR="00F714EF">
        <w:t>la nascita della nuova compagnia ha significato</w:t>
      </w:r>
      <w:r w:rsidR="00E50328">
        <w:t xml:space="preserve"> un notevole </w:t>
      </w:r>
      <w:r w:rsidR="00071E3D">
        <w:t>calo</w:t>
      </w:r>
      <w:r w:rsidR="00E50328">
        <w:t xml:space="preserve"> di traffico</w:t>
      </w:r>
      <w:r w:rsidR="00665013">
        <w:t>.</w:t>
      </w:r>
      <w:r w:rsidR="00B551D2">
        <w:t xml:space="preserve"> A fronte del quale però</w:t>
      </w:r>
      <w:r w:rsidR="00FE7683">
        <w:t xml:space="preserve"> -nota estremamente positiva-</w:t>
      </w:r>
      <w:r w:rsidR="00B551D2">
        <w:t xml:space="preserve"> la società</w:t>
      </w:r>
      <w:r w:rsidR="00AE1A41">
        <w:t xml:space="preserve"> aeroportuale</w:t>
      </w:r>
      <w:r w:rsidR="00B551D2">
        <w:t xml:space="preserve"> è riuscita a chiudere l’</w:t>
      </w:r>
      <w:r w:rsidR="00ED056C">
        <w:t>esercizio</w:t>
      </w:r>
      <w:r w:rsidR="00B551D2">
        <w:t xml:space="preserve"> fin</w:t>
      </w:r>
      <w:r w:rsidR="00ED056C">
        <w:t>a</w:t>
      </w:r>
      <w:r w:rsidR="00B551D2">
        <w:t>nziario in attivo</w:t>
      </w:r>
      <w:r w:rsidR="0094044E">
        <w:t>.</w:t>
      </w:r>
      <w:r w:rsidR="00F06712">
        <w:t xml:space="preserve"> </w:t>
      </w:r>
      <w:r w:rsidR="00E733B7">
        <w:t xml:space="preserve">Incredibilmente </w:t>
      </w:r>
      <w:r w:rsidR="00E2399E">
        <w:t>aprendo</w:t>
      </w:r>
      <w:r w:rsidR="0051271E">
        <w:t xml:space="preserve"> l’Annual </w:t>
      </w:r>
      <w:r w:rsidR="00F06712">
        <w:t>R</w:t>
      </w:r>
      <w:r w:rsidR="0051271E">
        <w:t xml:space="preserve">eport 2022 di ADR </w:t>
      </w:r>
      <w:r w:rsidR="00F02433">
        <w:t>e digitando</w:t>
      </w:r>
      <w:r w:rsidR="0051271E">
        <w:t xml:space="preserve"> sotto</w:t>
      </w:r>
      <w:r w:rsidR="00F02433">
        <w:t xml:space="preserve"> l</w:t>
      </w:r>
      <w:r w:rsidR="00F70B30">
        <w:t>o strumento</w:t>
      </w:r>
      <w:r w:rsidR="0051271E">
        <w:t xml:space="preserve"> “trova” </w:t>
      </w:r>
      <w:r w:rsidR="00F06712">
        <w:t xml:space="preserve">il nome ITA Airways, la ricerca fornirà </w:t>
      </w:r>
      <w:r w:rsidR="00F06712" w:rsidRPr="00C6509A">
        <w:rPr>
          <w:b/>
          <w:bCs/>
        </w:rPr>
        <w:t>zero risultati</w:t>
      </w:r>
      <w:r w:rsidR="00F02433">
        <w:t>;</w:t>
      </w:r>
      <w:r w:rsidR="00CA6657">
        <w:t xml:space="preserve"> </w:t>
      </w:r>
      <w:r w:rsidR="00A8020B">
        <w:t>r</w:t>
      </w:r>
      <w:r w:rsidR="00CA6657">
        <w:t xml:space="preserve">icordando che Ita Airways è al momento il maggior </w:t>
      </w:r>
      <w:r w:rsidR="00583697">
        <w:t xml:space="preserve">vettore di cui l’Italia dispone, </w:t>
      </w:r>
      <w:r w:rsidR="00583697" w:rsidRPr="001D0C41">
        <w:rPr>
          <w:u w:val="single"/>
        </w:rPr>
        <w:t>il fatto di non trov</w:t>
      </w:r>
      <w:r w:rsidR="00A8020B" w:rsidRPr="001D0C41">
        <w:rPr>
          <w:u w:val="single"/>
        </w:rPr>
        <w:t>are</w:t>
      </w:r>
      <w:r w:rsidR="00583697" w:rsidRPr="001D0C41">
        <w:rPr>
          <w:u w:val="single"/>
        </w:rPr>
        <w:t xml:space="preserve"> il minimo accenno</w:t>
      </w:r>
      <w:r w:rsidR="00A8020B" w:rsidRPr="001D0C41">
        <w:rPr>
          <w:u w:val="single"/>
        </w:rPr>
        <w:t xml:space="preserve"> di essa</w:t>
      </w:r>
      <w:r w:rsidR="00583697" w:rsidRPr="001D0C41">
        <w:rPr>
          <w:u w:val="single"/>
        </w:rPr>
        <w:t xml:space="preserve"> nel rapporto annuale del </w:t>
      </w:r>
      <w:r w:rsidR="00A8020B" w:rsidRPr="001D0C41">
        <w:rPr>
          <w:u w:val="single"/>
        </w:rPr>
        <w:t>maggior scalo nazionale</w:t>
      </w:r>
      <w:r w:rsidR="00C423E8" w:rsidRPr="001D0C41">
        <w:rPr>
          <w:u w:val="single"/>
        </w:rPr>
        <w:t xml:space="preserve"> </w:t>
      </w:r>
      <w:r w:rsidR="00384037" w:rsidRPr="001D0C41">
        <w:rPr>
          <w:u w:val="single"/>
        </w:rPr>
        <w:t>ci lascia este</w:t>
      </w:r>
      <w:r w:rsidR="00C423E8" w:rsidRPr="001D0C41">
        <w:rPr>
          <w:u w:val="single"/>
        </w:rPr>
        <w:t>r</w:t>
      </w:r>
      <w:r w:rsidR="00384037" w:rsidRPr="001D0C41">
        <w:rPr>
          <w:u w:val="single"/>
        </w:rPr>
        <w:t>refatti.</w:t>
      </w:r>
    </w:p>
    <w:p w14:paraId="53869E58" w14:textId="1F3368C9" w:rsidR="00D25E8B" w:rsidRDefault="00384037" w:rsidP="007C3FC4">
      <w:r w:rsidRPr="00384037">
        <w:t>P</w:t>
      </w:r>
      <w:r w:rsidR="00D25E8B">
        <w:t>assando alla Sea p</w:t>
      </w:r>
      <w:r w:rsidRPr="00384037">
        <w:t xml:space="preserve">remettiamo subito </w:t>
      </w:r>
      <w:r>
        <w:t>che mentre p</w:t>
      </w:r>
      <w:r w:rsidR="007C22BB">
        <w:t>er i due aeroporti romani, parlando di Ita Airways ci si deve riferire solo a Fiumicino, per Milano</w:t>
      </w:r>
      <w:r w:rsidR="000A4B2E">
        <w:t xml:space="preserve"> la situazione cambia dal momento che la compagnia italiana opera sia su Malpensa come su Linate.</w:t>
      </w:r>
      <w:r w:rsidR="00CA5E14">
        <w:t xml:space="preserve"> Qui partiamo </w:t>
      </w:r>
      <w:r w:rsidR="002E36DD">
        <w:t>con i dati finanziari:</w:t>
      </w:r>
    </w:p>
    <w:p w14:paraId="4A8A12F9" w14:textId="25C26E44" w:rsidR="002E36DD" w:rsidRDefault="002E36DD" w:rsidP="009A6E0A">
      <w:pPr>
        <w:spacing w:after="0"/>
      </w:pPr>
      <w:r>
        <w:t xml:space="preserve">Revenue </w:t>
      </w:r>
      <w:r w:rsidR="009410CD">
        <w:tab/>
      </w:r>
      <w:r w:rsidR="009410CD">
        <w:tab/>
      </w:r>
      <w:r>
        <w:t>767</w:t>
      </w:r>
      <w:r w:rsidR="009410CD">
        <w:t>.</w:t>
      </w:r>
      <w:r>
        <w:t>516.000</w:t>
      </w:r>
    </w:p>
    <w:p w14:paraId="04030A63" w14:textId="6B520A9C" w:rsidR="009A6E0A" w:rsidRDefault="009A6E0A" w:rsidP="007C3FC4">
      <w:r>
        <w:t xml:space="preserve">Profitto Netto </w:t>
      </w:r>
      <w:r w:rsidR="009410CD">
        <w:tab/>
      </w:r>
      <w:r w:rsidR="009410CD">
        <w:tab/>
      </w:r>
      <w:r>
        <w:t>182.460</w:t>
      </w:r>
      <w:r w:rsidR="009410CD">
        <w:t>.000</w:t>
      </w:r>
    </w:p>
    <w:p w14:paraId="45E11330" w14:textId="224EFB90" w:rsidR="005432B1" w:rsidRDefault="005432B1" w:rsidP="007C3FC4">
      <w:r w:rsidRPr="005432B1">
        <w:rPr>
          <w:noProof/>
          <w:bdr w:val="single" w:sz="12" w:space="0" w:color="auto"/>
        </w:rPr>
        <w:lastRenderedPageBreak/>
        <w:drawing>
          <wp:inline distT="0" distB="0" distL="0" distR="0" wp14:anchorId="65B51EFE" wp14:editId="31E39647">
            <wp:extent cx="3355200" cy="2797200"/>
            <wp:effectExtent l="0" t="0" r="0" b="317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5200" cy="27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172E">
        <w:t xml:space="preserve"> </w:t>
      </w:r>
      <w:r w:rsidR="00CB172E" w:rsidRPr="00CB172E">
        <w:rPr>
          <w:color w:val="FF0000"/>
          <w:sz w:val="16"/>
          <w:szCs w:val="16"/>
        </w:rPr>
        <w:t>(10)</w:t>
      </w:r>
    </w:p>
    <w:p w14:paraId="1E617990" w14:textId="4CAAC20A" w:rsidR="000E332D" w:rsidRDefault="000E332D" w:rsidP="007C3FC4">
      <w:r>
        <w:t>Quindi nel 2022 anche la Sea ha chiuso l’anno finanziario in attivo.</w:t>
      </w:r>
    </w:p>
    <w:p w14:paraId="3E286842" w14:textId="631C0400" w:rsidR="000A4B2E" w:rsidRDefault="003C2541" w:rsidP="007C3FC4">
      <w:r>
        <w:t>In questo rapporto, con molto piacere troviamo citata l</w:t>
      </w:r>
      <w:r w:rsidR="00782C3A">
        <w:t>a</w:t>
      </w:r>
      <w:r>
        <w:t xml:space="preserve"> “new entry” Ita Airways</w:t>
      </w:r>
      <w:r w:rsidR="00D216E7">
        <w:t xml:space="preserve"> circa la quale vengono fornite anche indicazioni</w:t>
      </w:r>
      <w:r w:rsidR="00EF3753">
        <w:t xml:space="preserve"> sulla quota di mercato</w:t>
      </w:r>
      <w:r w:rsidR="00E918E3">
        <w:t xml:space="preserve"> sia in termini di movimenti aeromobili</w:t>
      </w:r>
      <w:r w:rsidR="00432941">
        <w:t>, sia in termini di passeggeri</w:t>
      </w:r>
      <w:r>
        <w:t>:</w:t>
      </w:r>
    </w:p>
    <w:p w14:paraId="5F0AA633" w14:textId="44C1ACA9" w:rsidR="00A736E8" w:rsidRPr="00A736E8" w:rsidRDefault="00013A7C" w:rsidP="00A736E8">
      <w:pPr>
        <w:spacing w:after="0"/>
        <w:rPr>
          <w:i/>
          <w:iCs/>
        </w:rPr>
      </w:pPr>
      <w:r>
        <w:rPr>
          <w:i/>
          <w:iCs/>
        </w:rPr>
        <w:t>“</w:t>
      </w:r>
      <w:r w:rsidR="00A736E8" w:rsidRPr="00A736E8">
        <w:rPr>
          <w:i/>
          <w:iCs/>
        </w:rPr>
        <w:t xml:space="preserve">Come indicato in precedenza, nel 2022 sono stati riassegnati alcuni slot resi disponibili a seguito della sospensione delle operazioni di volo di Alitalia e Air Italy.  Ciò ha permesso ad alcuni vettori di espandere le proprie operazioni sull'aeroporto (Air France, KLM, Air Dolomiti e easyJet) e Wizzair ha avviato operazioni permanenti da Linate. </w:t>
      </w:r>
    </w:p>
    <w:p w14:paraId="32F29764" w14:textId="51D63B29" w:rsidR="00A736E8" w:rsidRPr="003B2E8A" w:rsidRDefault="00A736E8" w:rsidP="00A736E8">
      <w:pPr>
        <w:spacing w:after="0"/>
        <w:rPr>
          <w:i/>
          <w:iCs/>
        </w:rPr>
      </w:pPr>
      <w:r w:rsidRPr="00A736E8">
        <w:rPr>
          <w:i/>
          <w:iCs/>
        </w:rPr>
        <w:t>L'ingresso di nuovi vettori e il nuovo assetto della compagnia di bandiera (ora ITA) hanno determinato anche una ridistribuzione delle quote di mercato - in termini di movimento - tra i principali vettori</w:t>
      </w:r>
      <w:r w:rsidR="003B2E8A">
        <w:rPr>
          <w:i/>
          <w:iCs/>
        </w:rPr>
        <w:t xml:space="preserve"> </w:t>
      </w:r>
      <w:r w:rsidRPr="00A736E8">
        <w:rPr>
          <w:i/>
          <w:iCs/>
        </w:rPr>
        <w:t>presenti sullo scalo. La quota di mercato di Alitalia per il 2019, pari al 70%, è paragonabile a quella della neonata ITA Airway</w:t>
      </w:r>
      <w:r w:rsidR="00013A7C">
        <w:rPr>
          <w:i/>
          <w:iCs/>
        </w:rPr>
        <w:t xml:space="preserve">s, </w:t>
      </w:r>
      <w:r w:rsidRPr="00A736E8">
        <w:rPr>
          <w:i/>
          <w:iCs/>
        </w:rPr>
        <w:t xml:space="preserve"> pari a circa il 60% nel 2022.</w:t>
      </w:r>
      <w:r w:rsidR="00013A7C">
        <w:rPr>
          <w:i/>
          <w:iCs/>
        </w:rPr>
        <w:t>”</w:t>
      </w:r>
      <w:r w:rsidR="00D216E7">
        <w:rPr>
          <w:i/>
          <w:iCs/>
        </w:rPr>
        <w:t xml:space="preserve">  </w:t>
      </w:r>
      <w:r w:rsidR="00D216E7" w:rsidRPr="00B07BEB">
        <w:rPr>
          <w:color w:val="FF0000"/>
          <w:sz w:val="16"/>
          <w:szCs w:val="16"/>
        </w:rPr>
        <w:t>(11)</w:t>
      </w:r>
    </w:p>
    <w:p w14:paraId="2D41EEF8" w14:textId="77777777" w:rsidR="00E31C83" w:rsidRDefault="00E31C83" w:rsidP="00A736E8">
      <w:pPr>
        <w:spacing w:after="0"/>
        <w:rPr>
          <w:sz w:val="16"/>
          <w:szCs w:val="16"/>
        </w:rPr>
      </w:pPr>
    </w:p>
    <w:p w14:paraId="56CFB4CD" w14:textId="645A6EDF" w:rsidR="00432941" w:rsidRPr="00B07BEB" w:rsidRDefault="00E31C83" w:rsidP="00A736E8">
      <w:pPr>
        <w:spacing w:after="0"/>
        <w:rPr>
          <w:color w:val="00B050"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07BEB">
        <w:rPr>
          <w:color w:val="00B050"/>
          <w:sz w:val="16"/>
          <w:szCs w:val="16"/>
        </w:rPr>
        <w:t>Market Share passeggeri</w:t>
      </w:r>
      <w:r w:rsidR="000B3DF9">
        <w:rPr>
          <w:color w:val="00B050"/>
          <w:sz w:val="16"/>
          <w:szCs w:val="16"/>
        </w:rPr>
        <w:t xml:space="preserve"> (SEA)</w:t>
      </w:r>
    </w:p>
    <w:p w14:paraId="41208F40" w14:textId="77777777" w:rsidR="00432941" w:rsidRDefault="00432941" w:rsidP="00A736E8">
      <w:pPr>
        <w:spacing w:after="0"/>
        <w:rPr>
          <w:sz w:val="16"/>
          <w:szCs w:val="16"/>
        </w:rPr>
      </w:pPr>
    </w:p>
    <w:p w14:paraId="2140B923" w14:textId="08B9F425" w:rsidR="00432941" w:rsidRPr="00D216E7" w:rsidRDefault="00432941" w:rsidP="00FE23C2">
      <w:pPr>
        <w:spacing w:after="0"/>
        <w:jc w:val="center"/>
        <w:rPr>
          <w:sz w:val="16"/>
          <w:szCs w:val="16"/>
        </w:rPr>
      </w:pPr>
      <w:r w:rsidRPr="00FE23C2">
        <w:rPr>
          <w:noProof/>
          <w:sz w:val="16"/>
          <w:szCs w:val="16"/>
          <w:bdr w:val="single" w:sz="12" w:space="0" w:color="auto"/>
        </w:rPr>
        <w:drawing>
          <wp:inline distT="0" distB="0" distL="0" distR="0" wp14:anchorId="60D7E803" wp14:editId="22A8686A">
            <wp:extent cx="2768400" cy="219600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400" cy="21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C55F4" w14:textId="77777777" w:rsidR="006E7374" w:rsidRDefault="006E7374" w:rsidP="007C3FC4"/>
    <w:p w14:paraId="345759E4" w14:textId="77777777" w:rsidR="00B44872" w:rsidRDefault="00B44872" w:rsidP="007C3FC4"/>
    <w:p w14:paraId="718FED21" w14:textId="77777777" w:rsidR="00B44872" w:rsidRDefault="00B44872" w:rsidP="007C3FC4"/>
    <w:p w14:paraId="1919F29D" w14:textId="77A02AE1" w:rsidR="006E7374" w:rsidRDefault="0052219A" w:rsidP="007C3FC4">
      <w:r>
        <w:lastRenderedPageBreak/>
        <w:t>Mettendo a confronto per ADR e SEA</w:t>
      </w:r>
      <w:r w:rsidR="00552E3D">
        <w:t xml:space="preserve"> il 2022 con il 2019 appare evidente come i</w:t>
      </w:r>
      <w:r w:rsidR="00497E56">
        <w:t xml:space="preserve">l gap nel </w:t>
      </w:r>
      <w:r w:rsidR="00497E56" w:rsidRPr="004A1759">
        <w:rPr>
          <w:u w:val="single"/>
        </w:rPr>
        <w:t>numero passeggeri</w:t>
      </w:r>
      <w:r w:rsidR="00497E56">
        <w:t xml:space="preserve"> </w:t>
      </w:r>
      <w:r w:rsidR="00C010DB">
        <w:t xml:space="preserve">tra Roma e Milano </w:t>
      </w:r>
      <w:r w:rsidR="00497E56">
        <w:t>va</w:t>
      </w:r>
      <w:r w:rsidR="002015C3">
        <w:t>da</w:t>
      </w:r>
      <w:r w:rsidR="00497E56">
        <w:t xml:space="preserve"> assottigliandosi:</w:t>
      </w:r>
    </w:p>
    <w:p w14:paraId="4877BEAA" w14:textId="147E7457" w:rsidR="00EB67B9" w:rsidRPr="00EB67B9" w:rsidRDefault="002015C3" w:rsidP="007C3FC4">
      <w:pPr>
        <w:rPr>
          <w:sz w:val="20"/>
          <w:szCs w:val="20"/>
        </w:rPr>
      </w:pPr>
      <w:r w:rsidRPr="002015C3">
        <w:rPr>
          <w:i/>
          <w:iCs/>
          <w:sz w:val="20"/>
          <w:szCs w:val="20"/>
        </w:rPr>
        <w:t>(milioni)</w:t>
      </w:r>
      <w:r w:rsidR="00EB67B9" w:rsidRPr="002015C3">
        <w:rPr>
          <w:i/>
          <w:iCs/>
          <w:sz w:val="20"/>
          <w:szCs w:val="20"/>
        </w:rPr>
        <w:tab/>
      </w:r>
      <w:r w:rsidR="00EB67B9">
        <w:rPr>
          <w:sz w:val="20"/>
          <w:szCs w:val="20"/>
        </w:rPr>
        <w:tab/>
        <w:t>FCO</w:t>
      </w:r>
      <w:r w:rsidR="009D199A">
        <w:rPr>
          <w:sz w:val="20"/>
          <w:szCs w:val="20"/>
        </w:rPr>
        <w:t>+CIA</w:t>
      </w:r>
      <w:r w:rsidR="009D199A">
        <w:rPr>
          <w:sz w:val="20"/>
          <w:szCs w:val="20"/>
        </w:rPr>
        <w:tab/>
      </w:r>
      <w:r w:rsidR="009D199A">
        <w:rPr>
          <w:sz w:val="20"/>
          <w:szCs w:val="20"/>
        </w:rPr>
        <w:tab/>
        <w:t>MXP+LIN</w:t>
      </w:r>
    </w:p>
    <w:p w14:paraId="66606EA1" w14:textId="4AE0F1D4" w:rsidR="00497E56" w:rsidRDefault="00EB67B9" w:rsidP="009D199A">
      <w:pPr>
        <w:spacing w:after="0"/>
      </w:pPr>
      <w:r>
        <w:t>2019</w:t>
      </w:r>
      <w:r>
        <w:tab/>
      </w:r>
      <w:r>
        <w:tab/>
        <w:t>49.4</w:t>
      </w:r>
      <w:r>
        <w:tab/>
      </w:r>
      <w:r>
        <w:tab/>
        <w:t>35.2</w:t>
      </w:r>
    </w:p>
    <w:p w14:paraId="3E6EF7AE" w14:textId="03F4F700" w:rsidR="009D199A" w:rsidRDefault="009D199A" w:rsidP="009D199A">
      <w:pPr>
        <w:spacing w:after="0"/>
      </w:pPr>
      <w:r>
        <w:t>2022</w:t>
      </w:r>
      <w:r>
        <w:tab/>
      </w:r>
      <w:r>
        <w:tab/>
      </w:r>
      <w:r w:rsidR="00136211">
        <w:t>32.8</w:t>
      </w:r>
      <w:r w:rsidR="00136211">
        <w:tab/>
      </w:r>
      <w:r w:rsidR="00136211">
        <w:tab/>
        <w:t>28.9</w:t>
      </w:r>
    </w:p>
    <w:p w14:paraId="366C7637" w14:textId="77777777" w:rsidR="00975D05" w:rsidRDefault="00975D05" w:rsidP="009D199A">
      <w:pPr>
        <w:spacing w:after="0"/>
      </w:pPr>
    </w:p>
    <w:p w14:paraId="6B1ECF9D" w14:textId="7AB1DCA5" w:rsidR="00975D05" w:rsidRDefault="00486D06" w:rsidP="009D199A">
      <w:pPr>
        <w:spacing w:after="0"/>
      </w:pPr>
      <w:r>
        <w:t>E il recupero appare evidente in questi due grafici.</w:t>
      </w:r>
    </w:p>
    <w:p w14:paraId="1CCFBDE6" w14:textId="77777777" w:rsidR="00B44872" w:rsidRDefault="00B44872" w:rsidP="009D199A">
      <w:pPr>
        <w:spacing w:after="0"/>
      </w:pPr>
    </w:p>
    <w:p w14:paraId="00C34B35" w14:textId="250AB731" w:rsidR="00B44872" w:rsidRDefault="00B44872" w:rsidP="009D199A">
      <w:pPr>
        <w:spacing w:after="0"/>
      </w:pPr>
      <w:r w:rsidRPr="005E391A">
        <w:rPr>
          <w:noProof/>
          <w:bdr w:val="single" w:sz="12" w:space="0" w:color="auto"/>
        </w:rPr>
        <w:drawing>
          <wp:inline distT="0" distB="0" distL="0" distR="0" wp14:anchorId="133D9364" wp14:editId="1F1CA19A">
            <wp:extent cx="2192400" cy="1328400"/>
            <wp:effectExtent l="0" t="0" r="0" b="571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400" cy="132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E391A">
        <w:rPr>
          <w:noProof/>
          <w:bdr w:val="single" w:sz="12" w:space="0" w:color="auto"/>
        </w:rPr>
        <w:drawing>
          <wp:inline distT="0" distB="0" distL="0" distR="0" wp14:anchorId="27228C1F" wp14:editId="65CDB16D">
            <wp:extent cx="2174400" cy="1306800"/>
            <wp:effectExtent l="0" t="0" r="0" b="825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400" cy="13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CF95E" w14:textId="77777777" w:rsidR="00486D06" w:rsidRDefault="00486D06" w:rsidP="00740397"/>
    <w:p w14:paraId="717B8064" w14:textId="38FA5FA6" w:rsidR="00255F8E" w:rsidRDefault="00740397" w:rsidP="00740397">
      <w:r>
        <w:t>Volendo tirare le somme, confermiamo la particolarità tutta nostrana circa la mancanza di un sostanzial</w:t>
      </w:r>
      <w:r w:rsidR="002E613D">
        <w:t>e</w:t>
      </w:r>
      <w:r>
        <w:t xml:space="preserve"> apporto di </w:t>
      </w:r>
      <w:r w:rsidR="009F561A">
        <w:t>traffico da parte di un vettore nazionale,</w:t>
      </w:r>
      <w:r w:rsidR="00C35686">
        <w:t xml:space="preserve"> </w:t>
      </w:r>
      <w:r w:rsidR="009F561A">
        <w:t xml:space="preserve">mentre </w:t>
      </w:r>
      <w:r w:rsidR="00255F8E">
        <w:t>nel contempo</w:t>
      </w:r>
      <w:r w:rsidR="009F561A">
        <w:t xml:space="preserve"> apprend</w:t>
      </w:r>
      <w:r w:rsidR="00255F8E">
        <w:t>iamo</w:t>
      </w:r>
      <w:r w:rsidR="009F561A">
        <w:t xml:space="preserve"> con piacere che </w:t>
      </w:r>
      <w:r w:rsidR="008946F5">
        <w:t>tale</w:t>
      </w:r>
      <w:r w:rsidR="009F561A">
        <w:t xml:space="preserve"> grave </w:t>
      </w:r>
      <w:r w:rsidR="0022230D">
        <w:t>lacuna</w:t>
      </w:r>
      <w:r w:rsidR="009F561A">
        <w:t xml:space="preserve"> non impedisce ai nostri due maggi</w:t>
      </w:r>
      <w:r w:rsidR="00C35686">
        <w:t>ori</w:t>
      </w:r>
      <w:r w:rsidR="009F561A">
        <w:t xml:space="preserve"> </w:t>
      </w:r>
      <w:r w:rsidR="008946F5">
        <w:t>gruppi aeroportuali</w:t>
      </w:r>
      <w:r w:rsidR="009F561A">
        <w:t xml:space="preserve"> di chiudere i loro bilanci in</w:t>
      </w:r>
      <w:r w:rsidR="008F11B1">
        <w:t xml:space="preserve"> nero.</w:t>
      </w:r>
      <w:r w:rsidR="002E613D">
        <w:t xml:space="preserve"> </w:t>
      </w:r>
      <w:r w:rsidR="00167BAA">
        <w:t>D’altra parte</w:t>
      </w:r>
      <w:r w:rsidR="002E613D">
        <w:t xml:space="preserve"> sappiamo bene </w:t>
      </w:r>
      <w:r w:rsidR="009C7DCA">
        <w:t xml:space="preserve">che molti vettori </w:t>
      </w:r>
      <w:r w:rsidR="005358C0">
        <w:t xml:space="preserve">stranieri </w:t>
      </w:r>
      <w:r w:rsidR="009C7DCA">
        <w:t xml:space="preserve">nel corso degli anni hanno più volte dichiarato l’importanza del mercato italiano </w:t>
      </w:r>
      <w:r w:rsidR="00AD085E">
        <w:t>nelle</w:t>
      </w:r>
      <w:r w:rsidR="008946F5">
        <w:t xml:space="preserve"> </w:t>
      </w:r>
      <w:r w:rsidR="00AD085E">
        <w:t>loro operazioni, quindi essi sono stati più che disponibili nel sostituirsi</w:t>
      </w:r>
      <w:r w:rsidR="00E7187B">
        <w:t xml:space="preserve"> ai nostri vettori nel coprire i vuoti  lasciati</w:t>
      </w:r>
      <w:r w:rsidR="008C526C">
        <w:t>:</w:t>
      </w:r>
      <w:r w:rsidR="00E7187B">
        <w:t xml:space="preserve"> </w:t>
      </w:r>
      <w:r w:rsidR="008C526C">
        <w:t>i</w:t>
      </w:r>
      <w:r w:rsidR="00E7187B">
        <w:t xml:space="preserve"> bilanci in nero di SEA e ADR </w:t>
      </w:r>
      <w:r w:rsidR="004A1759">
        <w:t>per l’anno</w:t>
      </w:r>
      <w:r w:rsidR="00E7187B">
        <w:t xml:space="preserve"> 2022  </w:t>
      </w:r>
      <w:r w:rsidR="00255F8E">
        <w:t>confermano appieno</w:t>
      </w:r>
      <w:r w:rsidR="008C526C">
        <w:t xml:space="preserve"> queste note</w:t>
      </w:r>
      <w:r w:rsidR="00255F8E">
        <w:t>.</w:t>
      </w:r>
    </w:p>
    <w:p w14:paraId="07090E6A" w14:textId="77777777" w:rsidR="00F8368B" w:rsidRPr="001E2737" w:rsidRDefault="00F8368B" w:rsidP="00211162">
      <w:pPr>
        <w:jc w:val="center"/>
      </w:pPr>
    </w:p>
    <w:p w14:paraId="1CFCF21E" w14:textId="77777777" w:rsidR="00871FAA" w:rsidRDefault="00871FAA">
      <w:pPr>
        <w:rPr>
          <w:color w:val="FF0000"/>
          <w:sz w:val="16"/>
          <w:szCs w:val="16"/>
        </w:rPr>
      </w:pPr>
    </w:p>
    <w:p w14:paraId="76C36D4E" w14:textId="19BC51CD" w:rsidR="00B70A39" w:rsidRPr="000D5397" w:rsidRDefault="00000000" w:rsidP="000D5397">
      <w:pPr>
        <w:pStyle w:val="Paragrafoelenco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hyperlink r:id="rId14" w:history="1">
        <w:r w:rsidR="00D01165" w:rsidRPr="000D5397">
          <w:rPr>
            <w:rStyle w:val="Collegamentoipertestuale"/>
            <w:sz w:val="20"/>
            <w:szCs w:val="20"/>
          </w:rPr>
          <w:t>https://www.ch-aviation.com/portal/news/119017-ryanair-to-close-athens-base-for-winter-202223</w:t>
        </w:r>
      </w:hyperlink>
    </w:p>
    <w:p w14:paraId="2832F30D" w14:textId="666DA87E" w:rsidR="00D01165" w:rsidRPr="000D5397" w:rsidRDefault="00D01165" w:rsidP="000D5397">
      <w:pPr>
        <w:pStyle w:val="Paragrafoelenco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0D5397">
        <w:rPr>
          <w:sz w:val="20"/>
          <w:szCs w:val="20"/>
        </w:rPr>
        <w:t>La ITA</w:t>
      </w:r>
      <w:r w:rsidR="00EC7B8B" w:rsidRPr="000D5397">
        <w:rPr>
          <w:sz w:val="20"/>
          <w:szCs w:val="20"/>
        </w:rPr>
        <w:t xml:space="preserve"> </w:t>
      </w:r>
      <w:r w:rsidRPr="000D5397">
        <w:rPr>
          <w:sz w:val="20"/>
          <w:szCs w:val="20"/>
        </w:rPr>
        <w:t>Airways ha iniziato le operazioni il 15 ottobre 2021.</w:t>
      </w:r>
    </w:p>
    <w:p w14:paraId="25073399" w14:textId="3DD8F0C3" w:rsidR="006C07A8" w:rsidRPr="000D5397" w:rsidRDefault="006C07A8" w:rsidP="000D5397">
      <w:pPr>
        <w:pStyle w:val="Paragrafoelenco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0D5397">
        <w:rPr>
          <w:sz w:val="20"/>
          <w:szCs w:val="20"/>
        </w:rPr>
        <w:t xml:space="preserve">Immagine tratta dalla pagina </w:t>
      </w:r>
      <w:r w:rsidR="00D01D5D" w:rsidRPr="000D5397">
        <w:rPr>
          <w:sz w:val="20"/>
          <w:szCs w:val="20"/>
        </w:rPr>
        <w:t>67 di “Integrated Annual Report 2022”</w:t>
      </w:r>
      <w:r w:rsidR="00EA2329" w:rsidRPr="000D5397">
        <w:rPr>
          <w:sz w:val="20"/>
          <w:szCs w:val="20"/>
        </w:rPr>
        <w:t xml:space="preserve"> della ADR</w:t>
      </w:r>
    </w:p>
    <w:p w14:paraId="42B12FD3" w14:textId="53C29C37" w:rsidR="00FC5F2F" w:rsidRPr="000D5397" w:rsidRDefault="00FC5F2F" w:rsidP="000D5397">
      <w:pPr>
        <w:pStyle w:val="Paragrafoelenco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0D5397">
        <w:rPr>
          <w:sz w:val="20"/>
          <w:szCs w:val="20"/>
        </w:rPr>
        <w:t xml:space="preserve">Immagine tratta dalla pagina </w:t>
      </w:r>
      <w:r w:rsidR="00CC705F" w:rsidRPr="000D5397">
        <w:rPr>
          <w:sz w:val="20"/>
          <w:szCs w:val="20"/>
        </w:rPr>
        <w:t>83</w:t>
      </w:r>
      <w:r w:rsidRPr="000D5397">
        <w:rPr>
          <w:sz w:val="20"/>
          <w:szCs w:val="20"/>
        </w:rPr>
        <w:t xml:space="preserve"> di “Integrated Annual Report 2022” della ADR</w:t>
      </w:r>
    </w:p>
    <w:p w14:paraId="34527122" w14:textId="7B13BDA0" w:rsidR="00FC5F2F" w:rsidRPr="000D5397" w:rsidRDefault="0071763E" w:rsidP="000D5397">
      <w:pPr>
        <w:pStyle w:val="Paragrafoelenco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0D5397">
        <w:rPr>
          <w:sz w:val="20"/>
          <w:szCs w:val="20"/>
        </w:rPr>
        <w:t xml:space="preserve">Gli aeroporti hanno due principali flussi di entrate. Il primo, le entrate aeronautiche, comprende </w:t>
      </w:r>
      <w:r w:rsidR="0012404E" w:rsidRPr="000D5397">
        <w:rPr>
          <w:sz w:val="20"/>
          <w:szCs w:val="20"/>
        </w:rPr>
        <w:t>le entrate derivanti</w:t>
      </w:r>
      <w:r w:rsidRPr="000D5397">
        <w:rPr>
          <w:sz w:val="20"/>
          <w:szCs w:val="20"/>
        </w:rPr>
        <w:t xml:space="preserve"> dalle tariffe per i passeggeri, dagli affitti degli spazi dei terminal e della sicurezza delle compagnie aeree e dalle tasse di atterraggio e di utilizzo delle compagnie aeree. Il secondo, le entrate non aeronautiche, è generato dalle vendite al dettaglio, dalle concessioni di cibo e bevande, dai parcheggi e da altre attività</w:t>
      </w:r>
      <w:r w:rsidR="0012404E" w:rsidRPr="000D5397">
        <w:rPr>
          <w:sz w:val="20"/>
          <w:szCs w:val="20"/>
        </w:rPr>
        <w:t xml:space="preserve"> commerc</w:t>
      </w:r>
      <w:r w:rsidR="00893A7B" w:rsidRPr="000D5397">
        <w:rPr>
          <w:sz w:val="20"/>
          <w:szCs w:val="20"/>
        </w:rPr>
        <w:t>iali</w:t>
      </w:r>
      <w:r w:rsidRPr="000D5397">
        <w:rPr>
          <w:sz w:val="20"/>
          <w:szCs w:val="20"/>
        </w:rPr>
        <w:t>.</w:t>
      </w:r>
    </w:p>
    <w:p w14:paraId="164F2583" w14:textId="2D5F7B71" w:rsidR="007037C5" w:rsidRDefault="00000000" w:rsidP="000D5397">
      <w:pPr>
        <w:pStyle w:val="Paragrafoelenco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hyperlink r:id="rId15" w:history="1">
        <w:r w:rsidR="00783860" w:rsidRPr="003B43CC">
          <w:rPr>
            <w:rStyle w:val="Collegamentoipertestuale"/>
            <w:sz w:val="20"/>
            <w:szCs w:val="20"/>
          </w:rPr>
          <w:t>https://airport-world.com/non-aeronautical-revenues-diversify-and-grow/</w:t>
        </w:r>
      </w:hyperlink>
    </w:p>
    <w:p w14:paraId="7C3EE8FC" w14:textId="029873B7" w:rsidR="004D7394" w:rsidRDefault="003B5CC5" w:rsidP="000D5397">
      <w:pPr>
        <w:pStyle w:val="Paragrafoelenco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Tabella tratta da pag. 69 dell’Annual Report 2019 di Adr.</w:t>
      </w:r>
    </w:p>
    <w:p w14:paraId="60ED849D" w14:textId="77777777" w:rsidR="00783860" w:rsidRPr="000D5397" w:rsidRDefault="00783860" w:rsidP="00783860">
      <w:pPr>
        <w:pStyle w:val="Paragrafoelenco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0D5397">
        <w:rPr>
          <w:sz w:val="20"/>
          <w:szCs w:val="20"/>
        </w:rPr>
        <w:t>Il dato si riferisce ai due scali di Ciampino e Fiumicino ed è tratto dalla pagina 29 dell’Annual Report 2019 di Adr.</w:t>
      </w:r>
    </w:p>
    <w:p w14:paraId="4521E7DA" w14:textId="5903233F" w:rsidR="0009048B" w:rsidRDefault="0009048B" w:rsidP="0009048B">
      <w:pPr>
        <w:pStyle w:val="Paragrafoelenco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Tabella tratta da pag. 31 dell’Annual Report 2019 di Adr.</w:t>
      </w:r>
    </w:p>
    <w:p w14:paraId="1E347A14" w14:textId="04AE20EF" w:rsidR="00783860" w:rsidRDefault="00CB172E" w:rsidP="000D5397">
      <w:pPr>
        <w:pStyle w:val="Paragrafoelenco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Tabella tratta dalla pag.</w:t>
      </w:r>
      <w:r w:rsidR="00507002">
        <w:rPr>
          <w:sz w:val="20"/>
          <w:szCs w:val="20"/>
        </w:rPr>
        <w:t xml:space="preserve"> 25 dell’Annual Report 2022 della Sea.</w:t>
      </w:r>
    </w:p>
    <w:p w14:paraId="00953C8E" w14:textId="4D6841BA" w:rsidR="00EF3753" w:rsidRDefault="00DC5A4D" w:rsidP="000D5397">
      <w:pPr>
        <w:pStyle w:val="Paragrafoelenco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Pag. 22 dell’Annual report 2022 della Sea.</w:t>
      </w:r>
      <w:r w:rsidR="00B07BEB">
        <w:rPr>
          <w:sz w:val="20"/>
          <w:szCs w:val="20"/>
        </w:rPr>
        <w:t xml:space="preserve"> La tabella sul market shere passeggeri è tratta dalla pag. 23</w:t>
      </w:r>
      <w:r w:rsidR="00F35E52">
        <w:rPr>
          <w:sz w:val="20"/>
          <w:szCs w:val="20"/>
        </w:rPr>
        <w:t>.</w:t>
      </w:r>
    </w:p>
    <w:p w14:paraId="6D46DF7B" w14:textId="77777777" w:rsidR="00F428C2" w:rsidRDefault="00F428C2" w:rsidP="00F428C2">
      <w:pPr>
        <w:pStyle w:val="Paragrafoelenco"/>
        <w:spacing w:after="0" w:line="240" w:lineRule="auto"/>
        <w:rPr>
          <w:sz w:val="20"/>
          <w:szCs w:val="20"/>
        </w:rPr>
      </w:pPr>
    </w:p>
    <w:p w14:paraId="1CDA69CF" w14:textId="77777777" w:rsidR="00F428C2" w:rsidRDefault="00F428C2" w:rsidP="00F428C2">
      <w:pPr>
        <w:pStyle w:val="Paragrafoelenco"/>
        <w:spacing w:after="0" w:line="240" w:lineRule="auto"/>
        <w:rPr>
          <w:sz w:val="20"/>
          <w:szCs w:val="20"/>
        </w:rPr>
      </w:pPr>
    </w:p>
    <w:p w14:paraId="61439D31" w14:textId="77777777" w:rsidR="00E259F4" w:rsidRDefault="00E259F4" w:rsidP="00E259F4">
      <w:pPr>
        <w:pStyle w:val="Paragrafoelenco"/>
        <w:spacing w:after="0" w:line="240" w:lineRule="auto"/>
        <w:rPr>
          <w:sz w:val="20"/>
          <w:szCs w:val="20"/>
        </w:rPr>
      </w:pPr>
    </w:p>
    <w:p w14:paraId="20CF3FC7" w14:textId="77777777" w:rsidR="00C12E34" w:rsidRPr="00667ECD" w:rsidRDefault="00C12E34" w:rsidP="00C12E34">
      <w:pPr>
        <w:jc w:val="center"/>
        <w:rPr>
          <w:b/>
          <w:bCs/>
          <w:i/>
          <w:iCs/>
          <w:color w:val="2E74B5" w:themeColor="accent5" w:themeShade="BF"/>
          <w:sz w:val="24"/>
          <w:szCs w:val="24"/>
        </w:rPr>
      </w:pPr>
      <w:r w:rsidRPr="00667ECD">
        <w:rPr>
          <w:b/>
          <w:bCs/>
          <w:i/>
          <w:iCs/>
          <w:color w:val="2E74B5" w:themeColor="accent5" w:themeShade="BF"/>
          <w:sz w:val="24"/>
          <w:szCs w:val="24"/>
        </w:rPr>
        <w:t>www.Aviation-Industry-News.com</w:t>
      </w:r>
    </w:p>
    <w:p w14:paraId="49CE767B" w14:textId="4CA88490" w:rsidR="00C12E34" w:rsidRDefault="00C12E34" w:rsidP="00C12E34">
      <w:pPr>
        <w:rPr>
          <w:sz w:val="16"/>
          <w:szCs w:val="16"/>
        </w:rPr>
      </w:pPr>
      <w:r>
        <w:rPr>
          <w:sz w:val="16"/>
          <w:szCs w:val="16"/>
        </w:rPr>
        <w:t>03/05/2023</w:t>
      </w:r>
    </w:p>
    <w:p w14:paraId="245E9265" w14:textId="77777777" w:rsidR="00F428C2" w:rsidRDefault="00F428C2" w:rsidP="00C12E34">
      <w:pPr>
        <w:rPr>
          <w:sz w:val="16"/>
          <w:szCs w:val="16"/>
        </w:rPr>
      </w:pPr>
    </w:p>
    <w:p w14:paraId="5EDDD8F1" w14:textId="77777777" w:rsidR="00E8529F" w:rsidRDefault="00E8529F" w:rsidP="00C12E34">
      <w:pPr>
        <w:rPr>
          <w:sz w:val="16"/>
          <w:szCs w:val="16"/>
        </w:rPr>
      </w:pPr>
    </w:p>
    <w:p w14:paraId="69094939" w14:textId="77777777" w:rsidR="00F428C2" w:rsidRDefault="00F428C2" w:rsidP="00C12E34">
      <w:pPr>
        <w:rPr>
          <w:sz w:val="16"/>
          <w:szCs w:val="16"/>
        </w:rPr>
      </w:pPr>
    </w:p>
    <w:p w14:paraId="087FFB7B" w14:textId="77777777" w:rsidR="003C3511" w:rsidRDefault="003C3511" w:rsidP="003C3511">
      <w:pPr>
        <w:pStyle w:val="Paragrafoelenco"/>
        <w:spacing w:after="0"/>
        <w:jc w:val="center"/>
        <w:rPr>
          <w:b/>
          <w:noProof/>
          <w:color w:val="5B9BD5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743BD">
        <w:rPr>
          <w:b/>
          <w:noProof/>
          <w:color w:val="5B9BD5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E’ uscito:</w:t>
      </w:r>
    </w:p>
    <w:p w14:paraId="3844D4BB" w14:textId="77777777" w:rsidR="003C3511" w:rsidRPr="00B743BD" w:rsidRDefault="003C3511" w:rsidP="003C3511">
      <w:pPr>
        <w:pStyle w:val="Paragrafoelenco"/>
        <w:spacing w:after="0"/>
        <w:jc w:val="center"/>
        <w:rPr>
          <w:b/>
          <w:noProof/>
          <w:color w:val="5B9BD5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4F0B152" w14:textId="31991866" w:rsidR="00C12E34" w:rsidRDefault="00FD7066" w:rsidP="00FD7066">
      <w:pPr>
        <w:pStyle w:val="Paragrafoelenco"/>
        <w:spacing w:after="0" w:line="240" w:lineRule="auto"/>
        <w:jc w:val="center"/>
        <w:rPr>
          <w:sz w:val="20"/>
          <w:szCs w:val="20"/>
        </w:rPr>
      </w:pPr>
      <w:r>
        <w:rPr>
          <w:noProof/>
          <w:sz w:val="16"/>
          <w:szCs w:val="16"/>
        </w:rPr>
        <w:drawing>
          <wp:inline distT="0" distB="0" distL="0" distR="0" wp14:anchorId="419B997A" wp14:editId="095BA568">
            <wp:extent cx="2178000" cy="3006000"/>
            <wp:effectExtent l="0" t="0" r="0" b="444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00" cy="30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A585C" w14:textId="77777777" w:rsidR="00EE4E56" w:rsidRPr="00D53CF3" w:rsidRDefault="00EE4E56" w:rsidP="00EE4E56">
      <w:pPr>
        <w:pStyle w:val="Paragrafoelenco"/>
        <w:spacing w:after="0"/>
        <w:jc w:val="center"/>
        <w:rPr>
          <w:i/>
          <w:iCs/>
          <w:sz w:val="16"/>
          <w:szCs w:val="16"/>
        </w:rPr>
      </w:pPr>
      <w:r w:rsidRPr="00D53CF3">
        <w:rPr>
          <w:i/>
          <w:iCs/>
          <w:sz w:val="16"/>
          <w:szCs w:val="16"/>
        </w:rPr>
        <w:t>info@ibneditore.it</w:t>
      </w:r>
    </w:p>
    <w:p w14:paraId="517065B3" w14:textId="77777777" w:rsidR="00EE4E56" w:rsidRPr="000D5397" w:rsidRDefault="00EE4E56" w:rsidP="00FD7066">
      <w:pPr>
        <w:pStyle w:val="Paragrafoelenco"/>
        <w:spacing w:after="0" w:line="240" w:lineRule="auto"/>
        <w:jc w:val="center"/>
        <w:rPr>
          <w:sz w:val="20"/>
          <w:szCs w:val="20"/>
        </w:rPr>
      </w:pPr>
    </w:p>
    <w:sectPr w:rsidR="00EE4E56" w:rsidRPr="000D53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81A11"/>
    <w:multiLevelType w:val="hybridMultilevel"/>
    <w:tmpl w:val="40FA3316"/>
    <w:lvl w:ilvl="0" w:tplc="4B487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430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2B"/>
    <w:rsid w:val="00013A7C"/>
    <w:rsid w:val="00033963"/>
    <w:rsid w:val="00071E3D"/>
    <w:rsid w:val="00076A9D"/>
    <w:rsid w:val="000864FA"/>
    <w:rsid w:val="0009048B"/>
    <w:rsid w:val="000A4B2E"/>
    <w:rsid w:val="000B3DF9"/>
    <w:rsid w:val="000B75D6"/>
    <w:rsid w:val="000D5397"/>
    <w:rsid w:val="000E332D"/>
    <w:rsid w:val="000E4C72"/>
    <w:rsid w:val="000E6023"/>
    <w:rsid w:val="0012404E"/>
    <w:rsid w:val="00130267"/>
    <w:rsid w:val="00136211"/>
    <w:rsid w:val="00157D3A"/>
    <w:rsid w:val="00167BAA"/>
    <w:rsid w:val="001878B0"/>
    <w:rsid w:val="001B4A47"/>
    <w:rsid w:val="001C5B65"/>
    <w:rsid w:val="001C65D8"/>
    <w:rsid w:val="001D0C41"/>
    <w:rsid w:val="001E2737"/>
    <w:rsid w:val="002005B3"/>
    <w:rsid w:val="002015C3"/>
    <w:rsid w:val="00211162"/>
    <w:rsid w:val="0022230D"/>
    <w:rsid w:val="002356C5"/>
    <w:rsid w:val="00255F8E"/>
    <w:rsid w:val="00277DA9"/>
    <w:rsid w:val="00282F7D"/>
    <w:rsid w:val="002B04F7"/>
    <w:rsid w:val="002B0BAB"/>
    <w:rsid w:val="002B383F"/>
    <w:rsid w:val="002C5648"/>
    <w:rsid w:val="002D2A86"/>
    <w:rsid w:val="002E0DDE"/>
    <w:rsid w:val="002E2552"/>
    <w:rsid w:val="002E36DD"/>
    <w:rsid w:val="002E613D"/>
    <w:rsid w:val="002F5865"/>
    <w:rsid w:val="002F7DB0"/>
    <w:rsid w:val="00327975"/>
    <w:rsid w:val="00342D67"/>
    <w:rsid w:val="003502D5"/>
    <w:rsid w:val="0036244D"/>
    <w:rsid w:val="00365DF0"/>
    <w:rsid w:val="00366DA9"/>
    <w:rsid w:val="00384037"/>
    <w:rsid w:val="003874CC"/>
    <w:rsid w:val="00396DA0"/>
    <w:rsid w:val="00396DF1"/>
    <w:rsid w:val="003A12A3"/>
    <w:rsid w:val="003A6F32"/>
    <w:rsid w:val="003B2E8A"/>
    <w:rsid w:val="003B5CC5"/>
    <w:rsid w:val="003C2541"/>
    <w:rsid w:val="003C3511"/>
    <w:rsid w:val="003D729D"/>
    <w:rsid w:val="003F5A57"/>
    <w:rsid w:val="00432941"/>
    <w:rsid w:val="00445A6A"/>
    <w:rsid w:val="00456597"/>
    <w:rsid w:val="004669F2"/>
    <w:rsid w:val="00486D06"/>
    <w:rsid w:val="00497E56"/>
    <w:rsid w:val="004A1759"/>
    <w:rsid w:val="004B07FF"/>
    <w:rsid w:val="004D2A23"/>
    <w:rsid w:val="004D7394"/>
    <w:rsid w:val="004F182A"/>
    <w:rsid w:val="00502037"/>
    <w:rsid w:val="00507002"/>
    <w:rsid w:val="0051271E"/>
    <w:rsid w:val="0052219A"/>
    <w:rsid w:val="005358C0"/>
    <w:rsid w:val="005432B1"/>
    <w:rsid w:val="005516DB"/>
    <w:rsid w:val="00552E3D"/>
    <w:rsid w:val="00583697"/>
    <w:rsid w:val="00586772"/>
    <w:rsid w:val="005C6470"/>
    <w:rsid w:val="005E2C59"/>
    <w:rsid w:val="005E391A"/>
    <w:rsid w:val="005F677A"/>
    <w:rsid w:val="006003FD"/>
    <w:rsid w:val="006147CC"/>
    <w:rsid w:val="00630EC9"/>
    <w:rsid w:val="00631F4A"/>
    <w:rsid w:val="00651722"/>
    <w:rsid w:val="00665013"/>
    <w:rsid w:val="006C07A8"/>
    <w:rsid w:val="006E7374"/>
    <w:rsid w:val="007037C5"/>
    <w:rsid w:val="00704DCC"/>
    <w:rsid w:val="0071763E"/>
    <w:rsid w:val="00730220"/>
    <w:rsid w:val="00732992"/>
    <w:rsid w:val="00740397"/>
    <w:rsid w:val="00741CCF"/>
    <w:rsid w:val="0074440D"/>
    <w:rsid w:val="00782C3A"/>
    <w:rsid w:val="00783860"/>
    <w:rsid w:val="00787F6D"/>
    <w:rsid w:val="007A04A2"/>
    <w:rsid w:val="007C22BB"/>
    <w:rsid w:val="007C3FC4"/>
    <w:rsid w:val="007C588B"/>
    <w:rsid w:val="007C70F7"/>
    <w:rsid w:val="007F6F8A"/>
    <w:rsid w:val="00801040"/>
    <w:rsid w:val="00843DD7"/>
    <w:rsid w:val="00844B75"/>
    <w:rsid w:val="00871FAA"/>
    <w:rsid w:val="00873D24"/>
    <w:rsid w:val="00880A7D"/>
    <w:rsid w:val="00893A7B"/>
    <w:rsid w:val="008946F5"/>
    <w:rsid w:val="008B3F3C"/>
    <w:rsid w:val="008C526C"/>
    <w:rsid w:val="008E7F42"/>
    <w:rsid w:val="008F03CE"/>
    <w:rsid w:val="008F11B1"/>
    <w:rsid w:val="00937C3A"/>
    <w:rsid w:val="0094044E"/>
    <w:rsid w:val="009410CD"/>
    <w:rsid w:val="00951130"/>
    <w:rsid w:val="00953024"/>
    <w:rsid w:val="00975D05"/>
    <w:rsid w:val="009A6E0A"/>
    <w:rsid w:val="009B2F61"/>
    <w:rsid w:val="009C7DCA"/>
    <w:rsid w:val="009D199A"/>
    <w:rsid w:val="009D5F2F"/>
    <w:rsid w:val="009D7B1E"/>
    <w:rsid w:val="009E309C"/>
    <w:rsid w:val="009E689E"/>
    <w:rsid w:val="009E68EA"/>
    <w:rsid w:val="009F561A"/>
    <w:rsid w:val="009F7106"/>
    <w:rsid w:val="00A12405"/>
    <w:rsid w:val="00A2582F"/>
    <w:rsid w:val="00A53CCA"/>
    <w:rsid w:val="00A55C58"/>
    <w:rsid w:val="00A604E4"/>
    <w:rsid w:val="00A736E8"/>
    <w:rsid w:val="00A8020B"/>
    <w:rsid w:val="00A90E7C"/>
    <w:rsid w:val="00AC7211"/>
    <w:rsid w:val="00AC73CB"/>
    <w:rsid w:val="00AD085E"/>
    <w:rsid w:val="00AD6600"/>
    <w:rsid w:val="00AE1A41"/>
    <w:rsid w:val="00B07BEB"/>
    <w:rsid w:val="00B44872"/>
    <w:rsid w:val="00B467B2"/>
    <w:rsid w:val="00B516C1"/>
    <w:rsid w:val="00B551D2"/>
    <w:rsid w:val="00B70A39"/>
    <w:rsid w:val="00B7432F"/>
    <w:rsid w:val="00B94A39"/>
    <w:rsid w:val="00BB00D6"/>
    <w:rsid w:val="00BB5C5C"/>
    <w:rsid w:val="00BC09CD"/>
    <w:rsid w:val="00BC19F0"/>
    <w:rsid w:val="00BD7F06"/>
    <w:rsid w:val="00BF3326"/>
    <w:rsid w:val="00BF5098"/>
    <w:rsid w:val="00C010DB"/>
    <w:rsid w:val="00C017A0"/>
    <w:rsid w:val="00C12E34"/>
    <w:rsid w:val="00C31826"/>
    <w:rsid w:val="00C35686"/>
    <w:rsid w:val="00C423E8"/>
    <w:rsid w:val="00C42C26"/>
    <w:rsid w:val="00C6509A"/>
    <w:rsid w:val="00C7487F"/>
    <w:rsid w:val="00C81AA6"/>
    <w:rsid w:val="00CA5E14"/>
    <w:rsid w:val="00CA6657"/>
    <w:rsid w:val="00CB105F"/>
    <w:rsid w:val="00CB172E"/>
    <w:rsid w:val="00CC593D"/>
    <w:rsid w:val="00CC705F"/>
    <w:rsid w:val="00CE53F0"/>
    <w:rsid w:val="00D01165"/>
    <w:rsid w:val="00D01D5D"/>
    <w:rsid w:val="00D06E04"/>
    <w:rsid w:val="00D216E7"/>
    <w:rsid w:val="00D25E8B"/>
    <w:rsid w:val="00D50FCC"/>
    <w:rsid w:val="00D627D1"/>
    <w:rsid w:val="00D657A9"/>
    <w:rsid w:val="00D919A6"/>
    <w:rsid w:val="00DC5A4D"/>
    <w:rsid w:val="00DC749C"/>
    <w:rsid w:val="00DD18B9"/>
    <w:rsid w:val="00DD685D"/>
    <w:rsid w:val="00DF19A3"/>
    <w:rsid w:val="00E13F6D"/>
    <w:rsid w:val="00E2399E"/>
    <w:rsid w:val="00E259F4"/>
    <w:rsid w:val="00E31C83"/>
    <w:rsid w:val="00E43A58"/>
    <w:rsid w:val="00E50328"/>
    <w:rsid w:val="00E7187B"/>
    <w:rsid w:val="00E733B7"/>
    <w:rsid w:val="00E8529F"/>
    <w:rsid w:val="00E918E3"/>
    <w:rsid w:val="00EA2329"/>
    <w:rsid w:val="00EB67B9"/>
    <w:rsid w:val="00EC40A0"/>
    <w:rsid w:val="00EC7B8B"/>
    <w:rsid w:val="00ED056C"/>
    <w:rsid w:val="00ED6BAD"/>
    <w:rsid w:val="00EE4E56"/>
    <w:rsid w:val="00EF0472"/>
    <w:rsid w:val="00EF3753"/>
    <w:rsid w:val="00EF7044"/>
    <w:rsid w:val="00F02433"/>
    <w:rsid w:val="00F06712"/>
    <w:rsid w:val="00F316A7"/>
    <w:rsid w:val="00F35E52"/>
    <w:rsid w:val="00F428C2"/>
    <w:rsid w:val="00F520F2"/>
    <w:rsid w:val="00F70B30"/>
    <w:rsid w:val="00F70C8F"/>
    <w:rsid w:val="00F714EF"/>
    <w:rsid w:val="00F8368B"/>
    <w:rsid w:val="00F9734C"/>
    <w:rsid w:val="00FA16D4"/>
    <w:rsid w:val="00FA4BB4"/>
    <w:rsid w:val="00FB0F96"/>
    <w:rsid w:val="00FB3DA3"/>
    <w:rsid w:val="00FB5A2B"/>
    <w:rsid w:val="00FC4D1E"/>
    <w:rsid w:val="00FC5F2F"/>
    <w:rsid w:val="00FD52EE"/>
    <w:rsid w:val="00FD7066"/>
    <w:rsid w:val="00FE23C2"/>
    <w:rsid w:val="00FE7683"/>
    <w:rsid w:val="00FF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1D7B5"/>
  <w15:chartTrackingRefBased/>
  <w15:docId w15:val="{C036A588-ABD7-4427-8625-1538BBDB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172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0116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11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s://airport-world.com/non-aeronautical-revenues-diversify-and-grow/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hyperlink" Target="https://www.ch-aviation.com/portal/news/119017-ryanair-to-close-athens-base-for-winter-202223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6</Pages>
  <Words>1404</Words>
  <Characters>8005</Characters>
  <Application>Microsoft Office Word</Application>
  <DocSecurity>0</DocSecurity>
  <Lines>66</Lines>
  <Paragraphs>18</Paragraphs>
  <ScaleCrop>false</ScaleCrop>
  <Company/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Bordoni</dc:creator>
  <cp:keywords/>
  <dc:description/>
  <cp:lastModifiedBy>Antonio Bordoni</cp:lastModifiedBy>
  <cp:revision>248</cp:revision>
  <dcterms:created xsi:type="dcterms:W3CDTF">2023-04-30T09:09:00Z</dcterms:created>
  <dcterms:modified xsi:type="dcterms:W3CDTF">2023-05-03T10:00:00Z</dcterms:modified>
</cp:coreProperties>
</file>