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84CD" w14:textId="7BA4FD40" w:rsidR="0002369C" w:rsidRDefault="0002369C" w:rsidP="0002369C">
      <w:pPr>
        <w:spacing w:after="0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03946A21" wp14:editId="537B6B55">
            <wp:extent cx="1778400" cy="338400"/>
            <wp:effectExtent l="0" t="0" r="0" b="5080"/>
            <wp:docPr id="7591351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35196" name="Immagine 7591351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3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316C7" w14:textId="1401113A" w:rsidR="00EB484E" w:rsidRPr="0002369C" w:rsidRDefault="0002369C" w:rsidP="006E0DC2">
      <w:pPr>
        <w:spacing w:after="0"/>
        <w:ind w:left="2124" w:firstLine="708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  <w:r w:rsidR="00EB484E" w:rsidRPr="0002369C">
        <w:rPr>
          <w:b/>
          <w:bCs/>
          <w:color w:val="FF0000"/>
          <w:sz w:val="28"/>
          <w:szCs w:val="28"/>
        </w:rPr>
        <w:t>ROMA &amp; MILANO DOPO ALITALIA</w:t>
      </w:r>
    </w:p>
    <w:p w14:paraId="76AAB877" w14:textId="77777777" w:rsidR="00671FBC" w:rsidRDefault="00671FBC" w:rsidP="005712AE">
      <w:pPr>
        <w:spacing w:after="0"/>
      </w:pPr>
    </w:p>
    <w:p w14:paraId="4235D0E7" w14:textId="74563C6A" w:rsidR="005712AE" w:rsidRDefault="0021612D" w:rsidP="005712AE">
      <w:pPr>
        <w:spacing w:after="0"/>
      </w:pPr>
      <w:r>
        <w:t xml:space="preserve">Nel </w:t>
      </w:r>
      <w:r w:rsidR="006E0DC2">
        <w:t>biennio</w:t>
      </w:r>
      <w:r>
        <w:t xml:space="preserve"> 2007</w:t>
      </w:r>
      <w:r w:rsidR="006E0DC2">
        <w:t>/2008</w:t>
      </w:r>
      <w:r w:rsidR="005712AE">
        <w:t xml:space="preserve"> allorché Alitalia era stata messa in vendita, in Italia sorse una incredibile</w:t>
      </w:r>
      <w:r w:rsidR="00B060B7">
        <w:t>, scomposta</w:t>
      </w:r>
      <w:r w:rsidR="005712AE">
        <w:t xml:space="preserve"> polemica che finì addirittura sulle prime pagine dei principali quotidiani nazionali la quale aveva come oggetto del </w:t>
      </w:r>
      <w:proofErr w:type="gramStart"/>
      <w:r w:rsidR="005712AE">
        <w:t>contendere  una</w:t>
      </w:r>
      <w:proofErr w:type="gramEnd"/>
      <w:r w:rsidR="005712AE">
        <w:t xml:space="preserve"> accesa rivalità fra Roma e Milano su chi di questi due poli aeronautici avesse dovuto ospitare i voli intercontinentali della compagnia.</w:t>
      </w:r>
    </w:p>
    <w:p w14:paraId="14079659" w14:textId="381011E1" w:rsidR="005712AE" w:rsidRDefault="006B091D">
      <w:r>
        <w:t>Giunti ad oggi, n</w:t>
      </w:r>
      <w:r w:rsidR="005712AE">
        <w:t xml:space="preserve">on può che far piacere notare come malgrado tutte le traversie che son </w:t>
      </w:r>
      <w:proofErr w:type="gramStart"/>
      <w:r w:rsidR="005712AE">
        <w:t>seguite,  i</w:t>
      </w:r>
      <w:proofErr w:type="gramEnd"/>
      <w:r w:rsidR="005712AE">
        <w:t xml:space="preserve"> due maggiori scali italiani, abbiano decisamente cambiato tonalità e non abbiamo più sentito </w:t>
      </w:r>
      <w:r w:rsidR="0021612D">
        <w:t>politici,</w:t>
      </w:r>
      <w:r w:rsidR="005712AE">
        <w:t xml:space="preserve"> sindaci </w:t>
      </w:r>
      <w:r w:rsidR="00671FBC">
        <w:t xml:space="preserve">e autorità regionali </w:t>
      </w:r>
      <w:r w:rsidR="005712AE">
        <w:t>intervenire per sollecitare ITA Airways  ad aprire rotte sull’uno invece che sull’altro.</w:t>
      </w:r>
    </w:p>
    <w:p w14:paraId="44D59731" w14:textId="217E837C" w:rsidR="0021612D" w:rsidRPr="00B20372" w:rsidRDefault="0021612D" w:rsidP="0021612D">
      <w:pPr>
        <w:jc w:val="center"/>
        <w:rPr>
          <w:i/>
          <w:iCs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33BA044" wp14:editId="6B6BF7C0">
            <wp:extent cx="3074400" cy="1382400"/>
            <wp:effectExtent l="0" t="0" r="0" b="8255"/>
            <wp:docPr id="14345327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32744" name="Immagine 14345327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4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372">
        <w:rPr>
          <w:i/>
          <w:iCs/>
          <w:noProof/>
          <w:sz w:val="16"/>
          <w:szCs w:val="16"/>
        </w:rPr>
        <w:t xml:space="preserve">Corriere della Sera, </w:t>
      </w:r>
      <w:r w:rsidR="004A6C7C" w:rsidRPr="00B20372">
        <w:rPr>
          <w:i/>
          <w:iCs/>
          <w:noProof/>
          <w:sz w:val="16"/>
          <w:szCs w:val="16"/>
        </w:rPr>
        <w:t>30 dicembre 2007</w:t>
      </w:r>
    </w:p>
    <w:p w14:paraId="26C71E9C" w14:textId="39C5C0A1" w:rsidR="004A6C7C" w:rsidRDefault="004A6C7C" w:rsidP="0021612D">
      <w:pPr>
        <w:jc w:val="center"/>
      </w:pPr>
      <w:r w:rsidRPr="004A6C7C">
        <w:rPr>
          <w:noProof/>
          <w:bdr w:val="single" w:sz="12" w:space="0" w:color="auto"/>
        </w:rPr>
        <w:drawing>
          <wp:inline distT="0" distB="0" distL="0" distR="0" wp14:anchorId="3C92637A" wp14:editId="4AC7B91D">
            <wp:extent cx="2476800" cy="1004400"/>
            <wp:effectExtent l="0" t="0" r="0" b="5715"/>
            <wp:docPr id="11674609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60911" name="Immagine 11674609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B20372" w:rsidRPr="00B20372">
        <w:rPr>
          <w:i/>
          <w:iCs/>
          <w:sz w:val="16"/>
          <w:szCs w:val="16"/>
        </w:rPr>
        <w:t>Corriere della Sera,</w:t>
      </w:r>
      <w:r w:rsidR="00B20372">
        <w:t xml:space="preserve"> </w:t>
      </w:r>
      <w:r w:rsidRPr="00B20372">
        <w:rPr>
          <w:i/>
          <w:iCs/>
          <w:sz w:val="16"/>
          <w:szCs w:val="16"/>
        </w:rPr>
        <w:t>6 ottobre 2008</w:t>
      </w:r>
    </w:p>
    <w:p w14:paraId="63DAC3D6" w14:textId="7EC67D60" w:rsidR="005712AE" w:rsidRDefault="005712AE">
      <w:r>
        <w:t xml:space="preserve">In verità va detto che </w:t>
      </w:r>
      <w:r w:rsidR="00B43821">
        <w:t>i due maggiori</w:t>
      </w:r>
      <w:r>
        <w:t xml:space="preserve"> aeroporti italiani</w:t>
      </w:r>
      <w:r w:rsidR="00B43821">
        <w:t xml:space="preserve"> hanno vissuto sulla loro pelle una esperienza che è completamente unica nello scenario europeo. Ovunque ci si rigiri </w:t>
      </w:r>
      <w:proofErr w:type="gramStart"/>
      <w:r w:rsidR="00B43821">
        <w:t>infatti,  le</w:t>
      </w:r>
      <w:proofErr w:type="gramEnd"/>
      <w:r w:rsidR="00B43821">
        <w:t xml:space="preserve"> fortune dei maggiori scali continentali sono sempre </w:t>
      </w:r>
      <w:r w:rsidR="00671FBC">
        <w:t>avvenute grazie a</w:t>
      </w:r>
      <w:r w:rsidR="00B43821">
        <w:t xml:space="preserve">l vettore di bandiera il quale </w:t>
      </w:r>
      <w:r w:rsidR="00671FBC">
        <w:t xml:space="preserve">è stato </w:t>
      </w:r>
      <w:r w:rsidR="006B091D">
        <w:t>sempre</w:t>
      </w:r>
      <w:r w:rsidR="00B43821">
        <w:t xml:space="preserve">, </w:t>
      </w:r>
      <w:r w:rsidR="00B20372">
        <w:t>in tutti i Paesi</w:t>
      </w:r>
      <w:r w:rsidR="00B43821">
        <w:t>, il maggior tributario di traffico.</w:t>
      </w:r>
      <w:r w:rsidR="00671FBC">
        <w:t xml:space="preserve"> Da noi invece l</w:t>
      </w:r>
      <w:r w:rsidR="00B43821">
        <w:t xml:space="preserve">a cura dimagrante cui è stata sottoposta Alitalia nelle ultime decadi della sua esistenza </w:t>
      </w:r>
      <w:r w:rsidR="00B20372">
        <w:t>aveva letteralmente</w:t>
      </w:r>
      <w:r w:rsidR="00B43821">
        <w:t xml:space="preserve"> decimato movimenti e traffico passeggeri sia su Milano come su Roma.</w:t>
      </w:r>
      <w:r w:rsidR="00B20372">
        <w:t xml:space="preserve"> A</w:t>
      </w:r>
      <w:r w:rsidR="00BB7073">
        <w:t>d</w:t>
      </w:r>
      <w:r w:rsidR="00B20372">
        <w:t xml:space="preserve"> una tale a</w:t>
      </w:r>
      <w:r w:rsidR="00BB7073">
        <w:t>normale</w:t>
      </w:r>
      <w:r w:rsidR="00B20372">
        <w:t xml:space="preserve"> situazione per il Paese che è uno dei maggiori poli turistici mondiali ha </w:t>
      </w:r>
      <w:r w:rsidR="00EB407C">
        <w:t>fortunatamente</w:t>
      </w:r>
      <w:r w:rsidR="00B20372">
        <w:t xml:space="preserve"> supplito un forte incremento del traffico aereo svolto dai vettori stranieri e ciò anche perché nel frattempo sono </w:t>
      </w:r>
      <w:r w:rsidR="000001A6">
        <w:t>venute a scomparire altresì</w:t>
      </w:r>
      <w:r w:rsidR="00B20372">
        <w:t xml:space="preserve"> quelle compagnie italiane che erano alle spalle di Alitalia</w:t>
      </w:r>
      <w:r w:rsidR="000001A6">
        <w:t>,</w:t>
      </w:r>
      <w:r w:rsidR="00B20372">
        <w:t xml:space="preserve"> quali ad esempio AirOne e Meridiana. Certamente possiamo </w:t>
      </w:r>
      <w:r w:rsidR="000001A6">
        <w:t>affermare</w:t>
      </w:r>
      <w:r w:rsidR="00B20372">
        <w:t xml:space="preserve"> che l’Italia è un caso unico nelle cronache dell’aviazione civile ove i vettori stranieri hanno trovato completa via libera per i loro collegamenti aerei senza dover</w:t>
      </w:r>
      <w:r w:rsidR="00BB7073">
        <w:t>si confrontare con</w:t>
      </w:r>
      <w:r w:rsidR="00B20372">
        <w:t xml:space="preserve"> la concorrenza del vettore nazionale che invece </w:t>
      </w:r>
      <w:r w:rsidR="000001A6">
        <w:t>è</w:t>
      </w:r>
      <w:r w:rsidR="00B20372">
        <w:t xml:space="preserve"> presente in tutti gli altri Paesi.</w:t>
      </w:r>
    </w:p>
    <w:p w14:paraId="004DD83D" w14:textId="77777777" w:rsidR="00CE4821" w:rsidRDefault="00B20372" w:rsidP="00CE4821">
      <w:pPr>
        <w:spacing w:after="0"/>
      </w:pPr>
      <w:r>
        <w:t xml:space="preserve">Fra Milano e Roma è quindi </w:t>
      </w:r>
      <w:r w:rsidR="00FA53A5">
        <w:t xml:space="preserve">pace </w:t>
      </w:r>
      <w:r>
        <w:t xml:space="preserve">fatta e nessuno ha osato più creare ostacoli e problemi a ITA Airways </w:t>
      </w:r>
      <w:r w:rsidR="00EB407C">
        <w:t>allorché</w:t>
      </w:r>
      <w:r>
        <w:t xml:space="preserve"> questa ha iniziato ad aprire le sue rotte a lungo raggio. </w:t>
      </w:r>
      <w:r w:rsidR="0021612D">
        <w:t>Ma quale è</w:t>
      </w:r>
      <w:r w:rsidR="000001A6">
        <w:t xml:space="preserve"> oggi</w:t>
      </w:r>
      <w:r w:rsidR="0021612D">
        <w:t xml:space="preserve"> la reale situazione dei due </w:t>
      </w:r>
      <w:r w:rsidR="00FA53A5">
        <w:t>poli</w:t>
      </w:r>
      <w:r w:rsidR="0021612D">
        <w:t xml:space="preserve"> in questione</w:t>
      </w:r>
      <w:r w:rsidR="00BB7073">
        <w:t>, risentono ancora della mancanza di un forte vettore di bandiera</w:t>
      </w:r>
      <w:r w:rsidR="0021612D">
        <w:t xml:space="preserve">? </w:t>
      </w:r>
    </w:p>
    <w:p w14:paraId="3D002140" w14:textId="77777777" w:rsidR="00CE4821" w:rsidRDefault="00FA53A5">
      <w:r>
        <w:t>Innanzitutto va precisato, come</w:t>
      </w:r>
      <w:r w:rsidR="00502227">
        <w:t xml:space="preserve"> più volte evid</w:t>
      </w:r>
      <w:r w:rsidR="008D5B13">
        <w:t>e</w:t>
      </w:r>
      <w:r w:rsidR="00502227">
        <w:t>nziato in nostre precedenti newsletter</w:t>
      </w:r>
      <w:r>
        <w:t>,</w:t>
      </w:r>
      <w:r w:rsidR="00502227">
        <w:t xml:space="preserve"> c</w:t>
      </w:r>
      <w:r>
        <w:t>he</w:t>
      </w:r>
      <w:r w:rsidR="00502227">
        <w:t xml:space="preserve"> il polo aeroportuale </w:t>
      </w:r>
      <w:r w:rsidR="00BB7073">
        <w:t>lombardo</w:t>
      </w:r>
      <w:r w:rsidR="00502227">
        <w:t xml:space="preserve"> moviment</w:t>
      </w:r>
      <w:r>
        <w:t>a</w:t>
      </w:r>
      <w:r w:rsidR="00502227">
        <w:t xml:space="preserve"> più passeggeri </w:t>
      </w:r>
      <w:r w:rsidR="008D5B13">
        <w:t>rispetto a quello di</w:t>
      </w:r>
      <w:r w:rsidR="00502227">
        <w:t xml:space="preserve"> </w:t>
      </w:r>
      <w:r w:rsidR="008D5B13">
        <w:t>R</w:t>
      </w:r>
      <w:r w:rsidR="00502227">
        <w:t xml:space="preserve">oma. </w:t>
      </w:r>
      <w:r w:rsidR="008D5B13">
        <w:t xml:space="preserve"> Certamente non commette errore ch</w:t>
      </w:r>
      <w:r w:rsidR="00240A00">
        <w:t>i</w:t>
      </w:r>
      <w:r w:rsidR="008D5B13">
        <w:t xml:space="preserve"> </w:t>
      </w:r>
      <w:r w:rsidR="00240A00">
        <w:t>afferma</w:t>
      </w:r>
      <w:r w:rsidR="008D5B13">
        <w:t xml:space="preserve"> che Roma-Fiumicino è il primo aeroporto italiano per numero passeggeri, ma il fatto è che visto dall’ottica de</w:t>
      </w:r>
      <w:r w:rsidR="00BB7073">
        <w:t>l</w:t>
      </w:r>
      <w:r w:rsidR="008D5B13">
        <w:t xml:space="preserve">l’economia di un vettore </w:t>
      </w:r>
      <w:r w:rsidR="00BB7073">
        <w:t>-</w:t>
      </w:r>
      <w:r w:rsidR="008D5B13">
        <w:t>o meglio sarebbe dire del</w:t>
      </w:r>
      <w:r w:rsidR="009C4525">
        <w:t xml:space="preserve"> marketing del</w:t>
      </w:r>
      <w:r w:rsidR="008D5B13">
        <w:t>l’industria aerea</w:t>
      </w:r>
      <w:proofErr w:type="gramStart"/>
      <w:r w:rsidR="00BB7073">
        <w:t>-</w:t>
      </w:r>
      <w:r w:rsidR="008D5B13">
        <w:t xml:space="preserve">  </w:t>
      </w:r>
      <w:r w:rsidR="009C4525">
        <w:t>quest’ultima</w:t>
      </w:r>
      <w:proofErr w:type="gramEnd"/>
      <w:r w:rsidR="008D5B13">
        <w:t xml:space="preserve"> tende a privilegia</w:t>
      </w:r>
      <w:r w:rsidR="009C4525">
        <w:t>re</w:t>
      </w:r>
      <w:r w:rsidR="008D5B13">
        <w:t xml:space="preserve"> e quindi ad aprire più collegamenti</w:t>
      </w:r>
      <w:r w:rsidR="009C4525">
        <w:t xml:space="preserve"> in</w:t>
      </w:r>
      <w:r w:rsidR="008D5B13">
        <w:t xml:space="preserve"> quel territorio la cui </w:t>
      </w:r>
      <w:r w:rsidR="008D5B13" w:rsidRPr="009C4525">
        <w:rPr>
          <w:i/>
          <w:iCs/>
        </w:rPr>
        <w:t>catchment area</w:t>
      </w:r>
      <w:r w:rsidR="008D5B13">
        <w:t xml:space="preserve"> è capace di generare più traffico.</w:t>
      </w:r>
    </w:p>
    <w:p w14:paraId="397D2AE5" w14:textId="441A38C1" w:rsidR="00BB7073" w:rsidRPr="00CE4821" w:rsidRDefault="00BB7073">
      <w:r w:rsidRPr="00BB7073">
        <w:rPr>
          <w:sz w:val="18"/>
          <w:szCs w:val="18"/>
        </w:rPr>
        <w:lastRenderedPageBreak/>
        <w:t>“A conferma della favorevole collocazione geografica degli aeroporti di Milano, in termini di bacino di utenza, si evidenzia che la </w:t>
      </w:r>
      <w:r w:rsidRPr="00BB7073">
        <w:rPr>
          <w:i/>
          <w:iCs/>
          <w:sz w:val="18"/>
          <w:szCs w:val="18"/>
        </w:rPr>
        <w:t>catchment area</w:t>
      </w:r>
      <w:r w:rsidRPr="00BB7073">
        <w:rPr>
          <w:sz w:val="18"/>
          <w:szCs w:val="18"/>
        </w:rPr>
        <w:t> di tali aeroporti è caratterizzata da una forte presenza di attività industriali e del terziario avanzato, servite da infrastrutture logistiche che favoriscono lo sviluppo delle attività economiche, in particolare portuali e aeroportuali.</w:t>
      </w:r>
      <w:r w:rsidRPr="00BB7073">
        <w:rPr>
          <w:sz w:val="18"/>
          <w:szCs w:val="18"/>
        </w:rPr>
        <w:br/>
        <w:t>Con 9,9 milioni di abitanti la Lombardia, nel confronto con le equivalenti regioni europee di rango NUTS2, è dal punto di vista demografico la seconda Regione europea più popolosa dopo l’Île de France, che ne ha 11,9 milioni. Dal punto di vista delle dimensioni economiche la Lombardia è la seconda Regione europea NUTS2 per generazione di PIL, posizionandosi nuovamente dopo l’Île de France, ma davanti a Regioni come l’Inner London, l’Alta Baviera, Düsseldorf, o la regione di Stoccarda.”</w:t>
      </w:r>
      <w:r>
        <w:rPr>
          <w:sz w:val="18"/>
          <w:szCs w:val="18"/>
        </w:rPr>
        <w:t xml:space="preserve"> </w:t>
      </w:r>
      <w:r w:rsidRPr="00BB7073">
        <w:rPr>
          <w:color w:val="FF0000"/>
          <w:sz w:val="16"/>
          <w:szCs w:val="16"/>
        </w:rPr>
        <w:t>(1)</w:t>
      </w:r>
    </w:p>
    <w:p w14:paraId="6684A128" w14:textId="7854DE04" w:rsidR="00240A00" w:rsidRDefault="00FA53A5">
      <w:r>
        <w:t xml:space="preserve">Una tale favorevole </w:t>
      </w:r>
      <w:r w:rsidR="00A92A75">
        <w:t xml:space="preserve">situazione si evidenzia </w:t>
      </w:r>
      <w:r w:rsidR="00EB407C">
        <w:t>in via primaria</w:t>
      </w:r>
      <w:r w:rsidR="00A92A75">
        <w:t xml:space="preserve"> nel numero passeggeri movimentato. Ecco i numeri del</w:t>
      </w:r>
      <w:r w:rsidR="00240A00">
        <w:t xml:space="preserve"> traffico</w:t>
      </w:r>
      <w:r w:rsidR="00A92A75">
        <w:t xml:space="preserve"> passeggeri</w:t>
      </w:r>
      <w:r w:rsidR="00240A00">
        <w:t xml:space="preserve"> che</w:t>
      </w:r>
      <w:r w:rsidR="00A92A75">
        <w:t xml:space="preserve"> fa capo</w:t>
      </w:r>
      <w:r w:rsidR="00240A00">
        <w:t xml:space="preserve"> </w:t>
      </w:r>
      <w:r w:rsidR="00A92A75">
        <w:t>a</w:t>
      </w:r>
      <w:r w:rsidR="00240A00">
        <w:t xml:space="preserve">gli scali romani (Ciampino/Fiumicino) che poi sono gli unici due scali della regione Lazio, </w:t>
      </w:r>
      <w:r w:rsidR="00A92A75">
        <w:t>paragonati ai tre scali del polo</w:t>
      </w:r>
      <w:r w:rsidR="00240A00">
        <w:t xml:space="preserve"> milanese.</w:t>
      </w:r>
    </w:p>
    <w:p w14:paraId="4794508D" w14:textId="2E1A8EBD" w:rsidR="008D5B13" w:rsidRDefault="00A92A75">
      <w:r>
        <w:t>C</w:t>
      </w:r>
      <w:r w:rsidR="008D5B13">
        <w:t xml:space="preserve">ifre </w:t>
      </w:r>
      <w:r w:rsidR="009C4525">
        <w:t>relative al</w:t>
      </w:r>
      <w:r w:rsidR="008D5B13">
        <w:t xml:space="preserve"> 2023 </w:t>
      </w:r>
      <w:r w:rsidR="00240A00">
        <w:t xml:space="preserve">del movimento passeggeri </w:t>
      </w:r>
      <w:r w:rsidR="008D5B13">
        <w:t>reperibil</w:t>
      </w:r>
      <w:r w:rsidR="00714733">
        <w:t>i</w:t>
      </w:r>
      <w:r w:rsidR="008D5B13">
        <w:t xml:space="preserve"> da fonte Enac:</w:t>
      </w:r>
    </w:p>
    <w:p w14:paraId="1FE2FD94" w14:textId="77777777" w:rsidR="008D5B13" w:rsidRDefault="008D5B13">
      <w:r>
        <w:t xml:space="preserve">ROM-FCO </w:t>
      </w:r>
      <w:r>
        <w:tab/>
        <w:t>40.291.000</w:t>
      </w:r>
      <w:r>
        <w:tab/>
      </w:r>
      <w:r>
        <w:tab/>
        <w:t>MIL-MXP           25.890.000</w:t>
      </w:r>
      <w:r>
        <w:tab/>
      </w:r>
    </w:p>
    <w:p w14:paraId="6226CDC3" w14:textId="77777777" w:rsidR="008D5B13" w:rsidRDefault="008D5B13">
      <w:r>
        <w:t>ROM-CIA</w:t>
      </w:r>
      <w:proofErr w:type="gramStart"/>
      <w:r>
        <w:tab/>
        <w:t xml:space="preserve">  3</w:t>
      </w:r>
      <w:proofErr w:type="gramEnd"/>
      <w:r>
        <w:t>.852.000</w:t>
      </w:r>
      <w:r>
        <w:tab/>
      </w:r>
      <w:r>
        <w:tab/>
        <w:t>MIL-LIN</w:t>
      </w:r>
      <w:r>
        <w:tab/>
      </w:r>
      <w:r>
        <w:tab/>
        <w:t xml:space="preserve"> 9.371.000</w:t>
      </w:r>
    </w:p>
    <w:p w14:paraId="05B0981F" w14:textId="2D34FFFE" w:rsidR="008D5B13" w:rsidRDefault="008D5B13">
      <w:r>
        <w:tab/>
      </w:r>
      <w:r>
        <w:tab/>
      </w:r>
      <w:r>
        <w:tab/>
      </w:r>
      <w:r>
        <w:tab/>
      </w:r>
      <w:r>
        <w:tab/>
        <w:t>BGY</w:t>
      </w:r>
      <w:r w:rsidR="009C4525">
        <w:tab/>
      </w:r>
      <w:r w:rsidR="00240A00">
        <w:t xml:space="preserve">              </w:t>
      </w:r>
      <w:r>
        <w:t>15.967.000</w:t>
      </w:r>
    </w:p>
    <w:p w14:paraId="62C88E6A" w14:textId="77777777" w:rsidR="008D5B13" w:rsidRDefault="008D5B13">
      <w:pPr>
        <w:rPr>
          <w:b/>
          <w:bCs/>
        </w:rPr>
      </w:pPr>
      <w:r w:rsidRPr="009C4525">
        <w:rPr>
          <w:b/>
          <w:bCs/>
        </w:rPr>
        <w:t>Totale</w:t>
      </w:r>
      <w:r w:rsidRPr="009C4525">
        <w:rPr>
          <w:b/>
          <w:bCs/>
        </w:rPr>
        <w:tab/>
      </w:r>
      <w:r w:rsidRPr="009C4525">
        <w:rPr>
          <w:b/>
          <w:bCs/>
        </w:rPr>
        <w:tab/>
        <w:t>44.143.000</w:t>
      </w:r>
      <w:r w:rsidRPr="009C4525">
        <w:rPr>
          <w:b/>
          <w:bCs/>
        </w:rPr>
        <w:tab/>
      </w:r>
      <w:r w:rsidRPr="009C4525">
        <w:rPr>
          <w:b/>
          <w:bCs/>
        </w:rPr>
        <w:tab/>
        <w:t>Totale</w:t>
      </w:r>
      <w:r w:rsidRPr="009C4525">
        <w:rPr>
          <w:b/>
          <w:bCs/>
        </w:rPr>
        <w:tab/>
      </w:r>
      <w:r w:rsidRPr="009C4525">
        <w:rPr>
          <w:b/>
          <w:bCs/>
        </w:rPr>
        <w:tab/>
        <w:t>51.228.000</w:t>
      </w:r>
    </w:p>
    <w:p w14:paraId="531073E8" w14:textId="77777777" w:rsidR="00A92A75" w:rsidRDefault="00A92A75" w:rsidP="00542966">
      <w:pPr>
        <w:spacing w:after="0"/>
      </w:pPr>
    </w:p>
    <w:p w14:paraId="7A70FE3D" w14:textId="7ABA26C2" w:rsidR="00542966" w:rsidRDefault="00A92A75" w:rsidP="00542966">
      <w:pPr>
        <w:spacing w:after="0"/>
      </w:pPr>
      <w:r>
        <w:t xml:space="preserve">L’inserimento di </w:t>
      </w:r>
      <w:r w:rsidR="005C063E">
        <w:t>Bergamo</w:t>
      </w:r>
      <w:r>
        <w:t xml:space="preserve"> Orio al Serio </w:t>
      </w:r>
      <w:r w:rsidR="00050363">
        <w:t>come scalo facente parte del sistema aeroportuale milanese trova valide ragioni nel fatto che Bergamo è a soli 50 chilometri dalla città di Milano e dal fatto</w:t>
      </w:r>
      <w:r>
        <w:t xml:space="preserve"> che</w:t>
      </w:r>
      <w:r w:rsidR="005C063E">
        <w:t xml:space="preserve"> la connessione SEA-SACBO è stat</w:t>
      </w:r>
      <w:r w:rsidR="00542966">
        <w:t>a</w:t>
      </w:r>
      <w:r w:rsidR="005C063E">
        <w:t xml:space="preserve"> sempre presente nei rapporti fra le due società. E </w:t>
      </w:r>
      <w:r w:rsidR="00542966">
        <w:t xml:space="preserve">proprio </w:t>
      </w:r>
      <w:r w:rsidR="005C063E">
        <w:t xml:space="preserve">nel corso del corrente anno </w:t>
      </w:r>
      <w:r w:rsidR="00542966">
        <w:t>è riemerso il tema di un eventuale</w:t>
      </w:r>
      <w:r w:rsidR="002B5DA6" w:rsidRPr="002B5DA6">
        <w:t xml:space="preserve"> progetto di fusione tra le due </w:t>
      </w:r>
      <w:r w:rsidR="002C5DE5">
        <w:t>gestioni</w:t>
      </w:r>
      <w:r w:rsidR="002B5DA6" w:rsidRPr="002B5DA6">
        <w:t>, escludendo</w:t>
      </w:r>
      <w:r w:rsidR="00542966">
        <w:t xml:space="preserve"> però</w:t>
      </w:r>
      <w:r w:rsidR="002B5DA6" w:rsidRPr="002B5DA6">
        <w:t xml:space="preserve"> la possibilità di realizzarlo per la contrarietà di Bergamo. </w:t>
      </w:r>
    </w:p>
    <w:p w14:paraId="4E242CAF" w14:textId="77777777" w:rsidR="00542966" w:rsidRDefault="00542966" w:rsidP="00542966">
      <w:pPr>
        <w:spacing w:after="0"/>
      </w:pPr>
    </w:p>
    <w:p w14:paraId="4B090B8D" w14:textId="4CE7F4BC" w:rsidR="00542966" w:rsidRDefault="00542966" w:rsidP="00542966">
      <w:pPr>
        <w:spacing w:after="0"/>
        <w:jc w:val="center"/>
      </w:pPr>
      <w:r w:rsidRPr="00542966">
        <w:rPr>
          <w:noProof/>
          <w:bdr w:val="single" w:sz="12" w:space="0" w:color="auto"/>
        </w:rPr>
        <w:drawing>
          <wp:inline distT="0" distB="0" distL="0" distR="0" wp14:anchorId="79A4B6F2" wp14:editId="4BE582B6">
            <wp:extent cx="3171600" cy="853200"/>
            <wp:effectExtent l="0" t="0" r="0" b="4445"/>
            <wp:docPr id="3605734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73470" name="Immagine 3605734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600" cy="8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0DC3A" w14:textId="77777777" w:rsidR="00542966" w:rsidRDefault="00542966" w:rsidP="00542966">
      <w:pPr>
        <w:spacing w:after="0"/>
      </w:pPr>
    </w:p>
    <w:p w14:paraId="445FED09" w14:textId="09611705" w:rsidR="002B5DA6" w:rsidRDefault="00542966" w:rsidP="00542966">
      <w:pPr>
        <w:spacing w:after="0"/>
      </w:pPr>
      <w:r>
        <w:t xml:space="preserve">Paradossalmente potremmo dire che estintasi la polemica Roma/Milano oggi troviamo il problema </w:t>
      </w:r>
      <w:r w:rsidRPr="00050363">
        <w:rPr>
          <w:i/>
          <w:iCs/>
        </w:rPr>
        <w:t>Bergamo</w:t>
      </w:r>
      <w:r w:rsidR="00A92A75" w:rsidRPr="00050363">
        <w:rPr>
          <w:i/>
          <w:iCs/>
        </w:rPr>
        <w:t xml:space="preserve"> vs. </w:t>
      </w:r>
      <w:r w:rsidRPr="00050363">
        <w:rPr>
          <w:i/>
          <w:iCs/>
        </w:rPr>
        <w:t>Milano</w:t>
      </w:r>
      <w:r>
        <w:t xml:space="preserve">. </w:t>
      </w:r>
      <w:r w:rsidR="00117E71">
        <w:t xml:space="preserve">Giovanni </w:t>
      </w:r>
      <w:r w:rsidR="002B5DA6" w:rsidRPr="002B5DA6">
        <w:t>Sanga</w:t>
      </w:r>
      <w:r w:rsidR="00117E71">
        <w:t>, presidente di Sacbo ha</w:t>
      </w:r>
      <w:r w:rsidR="00A92A75">
        <w:t xml:space="preserve"> recentemente</w:t>
      </w:r>
      <w:r w:rsidR="00117E71">
        <w:t xml:space="preserve"> dichiarato</w:t>
      </w:r>
      <w:r w:rsidR="002B5DA6" w:rsidRPr="002B5DA6">
        <w:t xml:space="preserve">: </w:t>
      </w:r>
      <w:r w:rsidR="002B5DA6" w:rsidRPr="00A92A75">
        <w:rPr>
          <w:i/>
          <w:iCs/>
        </w:rPr>
        <w:t>«Nessun processo di fusione all’ordine del giorno»</w:t>
      </w:r>
      <w:r w:rsidR="002B5DA6" w:rsidRPr="002B5DA6">
        <w:t>.</w:t>
      </w:r>
      <w:r w:rsidR="002B5DA6">
        <w:t xml:space="preserve"> </w:t>
      </w:r>
      <w:r w:rsidR="00A92A75" w:rsidRPr="00A92A75">
        <w:rPr>
          <w:color w:val="FF0000"/>
          <w:sz w:val="16"/>
          <w:szCs w:val="16"/>
        </w:rPr>
        <w:t>(2)</w:t>
      </w:r>
      <w:r w:rsidR="00A92A75" w:rsidRPr="00A92A75">
        <w:rPr>
          <w:color w:val="FF0000"/>
        </w:rPr>
        <w:t xml:space="preserve"> </w:t>
      </w:r>
      <w:r w:rsidR="00A92A75">
        <w:t xml:space="preserve"> Nel dettaglio,</w:t>
      </w:r>
      <w:r w:rsidR="002B5DA6">
        <w:t xml:space="preserve"> la SEA gestisce gli aeroporti di Linate e Malpensa, la Sacbo quello di Bergamo, ma Palazzo </w:t>
      </w:r>
      <w:r w:rsidR="005C063E">
        <w:t>M</w:t>
      </w:r>
      <w:r w:rsidR="002B5DA6">
        <w:t xml:space="preserve">arino detiene il 54,81 di </w:t>
      </w:r>
      <w:proofErr w:type="gramStart"/>
      <w:r w:rsidR="002B5DA6">
        <w:t>SEA  che</w:t>
      </w:r>
      <w:proofErr w:type="gramEnd"/>
      <w:r w:rsidR="002B5DA6">
        <w:t xml:space="preserve"> a sua volta possiede la maggioranza relativa di Sacbo</w:t>
      </w:r>
      <w:r w:rsidR="00240B38">
        <w:t xml:space="preserve"> (30,98%)</w:t>
      </w:r>
      <w:r w:rsidR="002B5DA6">
        <w:t>.</w:t>
      </w:r>
    </w:p>
    <w:p w14:paraId="28983989" w14:textId="5EFE2E75" w:rsidR="00BB7073" w:rsidRDefault="005C063E">
      <w:r>
        <w:t>Per la storia vogliamo ricordare come e</w:t>
      </w:r>
      <w:r w:rsidR="002B5DA6" w:rsidRPr="002B5DA6">
        <w:t>sattamente un anno dopo l’avvenuta costituzione di SACBO, il 16 luglio 1971, il Consiglio superiore dell’aviazione civile espr</w:t>
      </w:r>
      <w:r>
        <w:t>esse</w:t>
      </w:r>
      <w:r w:rsidR="002B5DA6" w:rsidRPr="002B5DA6">
        <w:t xml:space="preserve"> parere favorevole dando il via libera ai collegamenti con Roma, Cagliari, Alghero e </w:t>
      </w:r>
      <w:proofErr w:type="gramStart"/>
      <w:r w:rsidR="002B5DA6" w:rsidRPr="002B5DA6">
        <w:t>Catania,  affidandone</w:t>
      </w:r>
      <w:proofErr w:type="gramEnd"/>
      <w:r w:rsidR="002B5DA6" w:rsidRPr="002B5DA6">
        <w:t xml:space="preserve"> la gestione a</w:t>
      </w:r>
      <w:r w:rsidR="00050363">
        <w:t>lla compagnia</w:t>
      </w:r>
      <w:r w:rsidR="002B5DA6" w:rsidRPr="002B5DA6">
        <w:t xml:space="preserve"> Itavia. Il documento di idoneità a svolgere traffico aereo civile e la relativa agibilità dell’infrastruttura porta la data del 20 marzo 1972</w:t>
      </w:r>
      <w:r>
        <w:t xml:space="preserve"> e la</w:t>
      </w:r>
      <w:r w:rsidR="002B5DA6" w:rsidRPr="002B5DA6">
        <w:t xml:space="preserve"> sera dello stesso giorno arriv</w:t>
      </w:r>
      <w:r w:rsidR="00542966">
        <w:t>ò</w:t>
      </w:r>
      <w:r w:rsidR="002B5DA6" w:rsidRPr="002B5DA6">
        <w:t xml:space="preserve"> da Roma Ciampino il DC9 Itavia che l’indomani mattina, alle 9:26, </w:t>
      </w:r>
      <w:r w:rsidR="00050363">
        <w:t xml:space="preserve">sarebbe </w:t>
      </w:r>
      <w:r w:rsidR="002B5DA6" w:rsidRPr="002B5DA6">
        <w:t>decolla</w:t>
      </w:r>
      <w:r w:rsidR="00050363">
        <w:t>to</w:t>
      </w:r>
      <w:r w:rsidR="002B5DA6" w:rsidRPr="002B5DA6">
        <w:t xml:space="preserve"> alla volta dello scalo capitolino, inaugurando la stagione dei voli civili</w:t>
      </w:r>
      <w:r w:rsidR="00542966">
        <w:t xml:space="preserve"> di Bergamo, </w:t>
      </w:r>
      <w:r w:rsidR="00050363">
        <w:t>un aeroporto</w:t>
      </w:r>
      <w:r w:rsidR="00542966">
        <w:t xml:space="preserve"> fino ad allora ignorato da Alitalia e ATI.</w:t>
      </w:r>
    </w:p>
    <w:p w14:paraId="2427DF59" w14:textId="0A2EF9FC" w:rsidR="00240A00" w:rsidRDefault="00A63DF5">
      <w:r>
        <w:t>Tornando al confronto fra Roma e Milano l</w:t>
      </w:r>
      <w:r w:rsidR="00240A00" w:rsidRPr="00240A00">
        <w:t>a differenza</w:t>
      </w:r>
      <w:r>
        <w:t xml:space="preserve"> fra il numero </w:t>
      </w:r>
      <w:proofErr w:type="gramStart"/>
      <w:r>
        <w:t>passeggeri  movimentato</w:t>
      </w:r>
      <w:proofErr w:type="gramEnd"/>
      <w:r>
        <w:t xml:space="preserve"> da</w:t>
      </w:r>
      <w:r w:rsidR="00050363">
        <w:t xml:space="preserve"> un lato da</w:t>
      </w:r>
      <w:r>
        <w:t>i due scali laziali e</w:t>
      </w:r>
      <w:r w:rsidR="00050363">
        <w:t xml:space="preserve"> dall’altro</w:t>
      </w:r>
      <w:r>
        <w:t xml:space="preserve"> </w:t>
      </w:r>
      <w:r w:rsidR="00050363">
        <w:t>da</w:t>
      </w:r>
      <w:r>
        <w:t xml:space="preserve">i tre da noi indicati </w:t>
      </w:r>
      <w:r w:rsidR="002C5DE5">
        <w:t>n</w:t>
      </w:r>
      <w:r>
        <w:t>ell’area lo</w:t>
      </w:r>
      <w:r w:rsidR="00050363">
        <w:t>m</w:t>
      </w:r>
      <w:r>
        <w:t>barda</w:t>
      </w:r>
      <w:r w:rsidR="00050363">
        <w:t>,</w:t>
      </w:r>
      <w:r>
        <w:t xml:space="preserve"> è notevole</w:t>
      </w:r>
      <w:r w:rsidR="00050363">
        <w:t xml:space="preserve"> in quanto</w:t>
      </w:r>
      <w:r>
        <w:t xml:space="preserve"> aggirantesi sui </w:t>
      </w:r>
      <w:r w:rsidR="00CE4821">
        <w:t>sette</w:t>
      </w:r>
      <w:r>
        <w:t xml:space="preserve"> milioni di passeggeri</w:t>
      </w:r>
      <w:r w:rsidR="00240A00">
        <w:t xml:space="preserve">,  </w:t>
      </w:r>
      <w:r w:rsidR="00050363">
        <w:t>un</w:t>
      </w:r>
      <w:r>
        <w:t xml:space="preserve"> divario ancor più evidente</w:t>
      </w:r>
      <w:r w:rsidR="00240A00">
        <w:t xml:space="preserve"> se si </w:t>
      </w:r>
      <w:r w:rsidR="00050363">
        <w:t>passa ad esaminare</w:t>
      </w:r>
      <w:r w:rsidR="00240A00">
        <w:t xml:space="preserve"> il traffico cargo.</w:t>
      </w:r>
    </w:p>
    <w:p w14:paraId="5010D6B1" w14:textId="4879F85D" w:rsidR="00240A00" w:rsidRPr="00240A00" w:rsidRDefault="00050363" w:rsidP="00240A00">
      <w:r>
        <w:t>Con riferimento al</w:t>
      </w:r>
      <w:r w:rsidR="000001A6">
        <w:t>l’anno</w:t>
      </w:r>
      <w:r w:rsidR="0021612D">
        <w:t xml:space="preserve"> 2023 i</w:t>
      </w:r>
      <w:r w:rsidR="00240A00" w:rsidRPr="00240A00">
        <w:t xml:space="preserve">l traffico </w:t>
      </w:r>
      <w:r w:rsidR="00240A00" w:rsidRPr="000001A6">
        <w:t>cargo</w:t>
      </w:r>
      <w:r w:rsidR="000001A6">
        <w:t>,</w:t>
      </w:r>
      <w:r w:rsidR="00240A00" w:rsidRPr="000001A6">
        <w:t xml:space="preserve"> </w:t>
      </w:r>
      <w:r w:rsidR="0021612D" w:rsidRPr="000001A6">
        <w:t>composto da</w:t>
      </w:r>
      <w:r w:rsidR="0021612D">
        <w:rPr>
          <w:b/>
          <w:bCs/>
        </w:rPr>
        <w:t xml:space="preserve"> </w:t>
      </w:r>
      <w:r w:rsidR="00240A00" w:rsidRPr="00240A00">
        <w:t>merci e posta</w:t>
      </w:r>
      <w:r w:rsidR="002C5DE5">
        <w:t>,</w:t>
      </w:r>
      <w:r w:rsidR="00240A00" w:rsidRPr="00240A00">
        <w:t xml:space="preserve"> dei 45 aeroporti aperti al traffico commerciale si è attestato</w:t>
      </w:r>
      <w:r>
        <w:t xml:space="preserve"> in Italia</w:t>
      </w:r>
      <w:r w:rsidR="0021612D">
        <w:t xml:space="preserve"> a 1.062.000 tonnellate</w:t>
      </w:r>
      <w:r w:rsidR="000001A6">
        <w:t>,</w:t>
      </w:r>
      <w:r w:rsidR="0021612D">
        <w:t xml:space="preserve"> ma di questo traffico è sempre Milano</w:t>
      </w:r>
      <w:r>
        <w:t>-</w:t>
      </w:r>
      <w:r w:rsidR="0021612D">
        <w:t xml:space="preserve">Malpensa </w:t>
      </w:r>
      <w:r w:rsidR="0021612D">
        <w:lastRenderedPageBreak/>
        <w:t>la leader  che movimenta 672.000 tonnellate (63%) seguit</w:t>
      </w:r>
      <w:r w:rsidR="000001A6">
        <w:t>a</w:t>
      </w:r>
      <w:r w:rsidR="0021612D">
        <w:t xml:space="preserve"> da Fiumicino con 190 mila</w:t>
      </w:r>
      <w:r w:rsidR="000001A6">
        <w:t xml:space="preserve"> tonnellate</w:t>
      </w:r>
      <w:r w:rsidR="0021612D">
        <w:t xml:space="preserve"> (18%)</w:t>
      </w:r>
      <w:r>
        <w:t xml:space="preserve"> e su questo fronte troviamo un’altra realtà lombarda: Brescia Montichiari che si posiziona al quinto posto fra gli aeroporti italiani.</w:t>
      </w:r>
    </w:p>
    <w:p w14:paraId="177475A5" w14:textId="3591D219" w:rsidR="005712AE" w:rsidRDefault="005712AE" w:rsidP="00E06CD9">
      <w:pPr>
        <w:jc w:val="center"/>
      </w:pPr>
      <w:r w:rsidRPr="005712AE">
        <w:rPr>
          <w:noProof/>
          <w:bdr w:val="single" w:sz="12" w:space="0" w:color="auto"/>
        </w:rPr>
        <w:drawing>
          <wp:inline distT="0" distB="0" distL="0" distR="0" wp14:anchorId="3635C733" wp14:editId="6FA83ED7">
            <wp:extent cx="5457600" cy="1785600"/>
            <wp:effectExtent l="0" t="0" r="0" b="5715"/>
            <wp:docPr id="1162239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3940" name="Immagine 11622394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600" cy="17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39A68" w14:textId="77777777" w:rsidR="00050363" w:rsidRDefault="00050363" w:rsidP="00E06CD9"/>
    <w:p w14:paraId="054F0648" w14:textId="7D7D5E1E" w:rsidR="009E3E22" w:rsidRDefault="00050363" w:rsidP="00E06CD9">
      <w:r>
        <w:t>Dal momento che uno scalo aeroportuale è il polo catalizzatore delle risorse produttive</w:t>
      </w:r>
      <w:r w:rsidR="00EB407C">
        <w:t>-</w:t>
      </w:r>
      <w:r>
        <w:t>economiche che lo circondano</w:t>
      </w:r>
      <w:r w:rsidR="00EB407C">
        <w:t>,</w:t>
      </w:r>
      <w:r>
        <w:t xml:space="preserve"> da quest</w:t>
      </w:r>
      <w:r w:rsidR="00EB407C">
        <w:t>o</w:t>
      </w:r>
      <w:r>
        <w:t xml:space="preserve"> nostr</w:t>
      </w:r>
      <w:r w:rsidR="00EB407C">
        <w:t>o</w:t>
      </w:r>
      <w:r>
        <w:t xml:space="preserve"> breve excursus non crediamo possano sussistere dubbi su chi sia il primo attore dell</w:t>
      </w:r>
      <w:r w:rsidR="00CE4821">
        <w:t>a</w:t>
      </w:r>
      <w:r>
        <w:t xml:space="preserve"> scena nazionale.</w:t>
      </w:r>
      <w:r w:rsidR="009E3E22">
        <w:t xml:space="preserve"> Ma detto ciò vogliamo compiere un ulteriore esame. Come procede la produzione, il risultato </w:t>
      </w:r>
      <w:r w:rsidR="00EB407C">
        <w:t>finanziario</w:t>
      </w:r>
      <w:r w:rsidR="009E3E22">
        <w:t xml:space="preserve"> degli aeroporti da noi esaminati? La lunga crisi di Alitalia, la nascita avvenuta il 15 ottobre 2021 dell</w:t>
      </w:r>
      <w:r w:rsidR="0015719F">
        <w:t>a</w:t>
      </w:r>
      <w:r w:rsidR="009E3E22">
        <w:t xml:space="preserve"> neo compagni</w:t>
      </w:r>
      <w:r w:rsidR="0015719F">
        <w:t>a</w:t>
      </w:r>
      <w:r w:rsidR="009E3E22">
        <w:t xml:space="preserve"> ITA Airways di </w:t>
      </w:r>
      <w:r w:rsidR="00EB407C">
        <w:t>dimensioni</w:t>
      </w:r>
      <w:r w:rsidR="009E3E22">
        <w:t xml:space="preserve"> decisamente più limitate rispetto a quelle cui ci aveva abituato l’Alitalia ha provocato un impatto </w:t>
      </w:r>
      <w:r w:rsidR="00EB407C">
        <w:t>negativo</w:t>
      </w:r>
      <w:r w:rsidR="009E3E22">
        <w:t xml:space="preserve"> nei conti delle rispettive società di gestione? </w:t>
      </w:r>
    </w:p>
    <w:p w14:paraId="0770DA61" w14:textId="7A6D7E9B" w:rsidR="005A77EE" w:rsidRPr="00EB617B" w:rsidRDefault="009E3E22" w:rsidP="00E06CD9">
      <w:pPr>
        <w:rPr>
          <w:color w:val="FF0000"/>
          <w:sz w:val="16"/>
          <w:szCs w:val="16"/>
        </w:rPr>
      </w:pPr>
      <w:r>
        <w:t>Ebbene se al 31 dicembre 2023</w:t>
      </w:r>
      <w:r w:rsidR="005A77EE">
        <w:t xml:space="preserve"> i conti di ITA Airways </w:t>
      </w:r>
      <w:r w:rsidR="00EB407C">
        <w:t>mostrano</w:t>
      </w:r>
      <w:r w:rsidR="005A77EE">
        <w:t xml:space="preserve"> ancora</w:t>
      </w:r>
      <w:r w:rsidR="00EB407C">
        <w:t xml:space="preserve"> segni di</w:t>
      </w:r>
      <w:r w:rsidR="005A77EE">
        <w:t xml:space="preserve"> sofferenza</w:t>
      </w:r>
      <w:r>
        <w:t xml:space="preserve"> </w:t>
      </w:r>
      <w:r w:rsidRPr="00EB617B">
        <w:rPr>
          <w:color w:val="FF0000"/>
          <w:sz w:val="16"/>
          <w:szCs w:val="16"/>
        </w:rPr>
        <w:t>(3)</w:t>
      </w:r>
      <w:r w:rsidR="005A77EE" w:rsidRPr="00EB617B">
        <w:rPr>
          <w:color w:val="FF0000"/>
        </w:rPr>
        <w:t xml:space="preserve"> </w:t>
      </w:r>
      <w:r>
        <w:t xml:space="preserve">non sembrano aver avuto stessa sorte </w:t>
      </w:r>
      <w:r w:rsidR="005A77EE">
        <w:t>i conti di SEA, SACBO e ADR</w:t>
      </w:r>
      <w:r>
        <w:t xml:space="preserve">, </w:t>
      </w:r>
      <w:r w:rsidR="00D04A08">
        <w:t xml:space="preserve">i cui risultati di esercizio sono </w:t>
      </w:r>
      <w:r>
        <w:t>tutti</w:t>
      </w:r>
      <w:r w:rsidR="005A77EE">
        <w:t xml:space="preserve"> positivi.</w:t>
      </w:r>
      <w:r w:rsidR="00EB617B">
        <w:t xml:space="preserve"> </w:t>
      </w:r>
      <w:r w:rsidR="00EB617B" w:rsidRPr="00EB617B">
        <w:rPr>
          <w:color w:val="FF0000"/>
          <w:sz w:val="16"/>
          <w:szCs w:val="16"/>
        </w:rPr>
        <w:t>(4)</w:t>
      </w:r>
    </w:p>
    <w:p w14:paraId="67995CA8" w14:textId="4463C0E0" w:rsidR="00240B38" w:rsidRPr="009E3E22" w:rsidRDefault="009E3E22" w:rsidP="00E06CD9">
      <w:pPr>
        <w:rPr>
          <w:i/>
          <w:iCs/>
          <w:sz w:val="18"/>
          <w:szCs w:val="18"/>
        </w:rPr>
      </w:pPr>
      <w:r>
        <w:tab/>
      </w:r>
      <w:r w:rsidRPr="009E3E22">
        <w:rPr>
          <w:i/>
          <w:iCs/>
          <w:sz w:val="18"/>
          <w:szCs w:val="18"/>
        </w:rPr>
        <w:t xml:space="preserve">    </w:t>
      </w:r>
      <w:r w:rsidR="00EB407C">
        <w:rPr>
          <w:i/>
          <w:iCs/>
          <w:sz w:val="18"/>
          <w:szCs w:val="18"/>
        </w:rPr>
        <w:t xml:space="preserve">   </w:t>
      </w:r>
      <w:r w:rsidRPr="009E3E22">
        <w:rPr>
          <w:i/>
          <w:iCs/>
          <w:sz w:val="18"/>
          <w:szCs w:val="18"/>
        </w:rPr>
        <w:t>2023</w:t>
      </w:r>
      <w:r w:rsidRPr="009E3E22">
        <w:rPr>
          <w:i/>
          <w:iCs/>
          <w:sz w:val="18"/>
          <w:szCs w:val="18"/>
        </w:rPr>
        <w:tab/>
      </w:r>
      <w:r w:rsidRPr="009E3E22">
        <w:rPr>
          <w:i/>
          <w:iCs/>
          <w:sz w:val="18"/>
          <w:szCs w:val="18"/>
        </w:rPr>
        <w:tab/>
        <w:t xml:space="preserve">      2022</w:t>
      </w:r>
    </w:p>
    <w:p w14:paraId="551A39F0" w14:textId="61F9B4BF" w:rsidR="00240B38" w:rsidRDefault="00240B38" w:rsidP="00E06CD9">
      <w:r>
        <w:t>ADR</w:t>
      </w:r>
      <w:r>
        <w:tab/>
        <w:t>193.428.000</w:t>
      </w:r>
      <w:proofErr w:type="gramStart"/>
      <w:r>
        <w:tab/>
        <w:t xml:space="preserve">  45.059.000</w:t>
      </w:r>
      <w:proofErr w:type="gramEnd"/>
    </w:p>
    <w:p w14:paraId="4E914C9F" w14:textId="77777777" w:rsidR="00240B38" w:rsidRDefault="00240B38" w:rsidP="00E06CD9">
      <w:r>
        <w:t>SEA</w:t>
      </w:r>
      <w:r>
        <w:tab/>
        <w:t>156.207.000</w:t>
      </w:r>
      <w:r>
        <w:tab/>
        <w:t>182.460.000</w:t>
      </w:r>
    </w:p>
    <w:p w14:paraId="719B03D0" w14:textId="0419DDBA" w:rsidR="00240B38" w:rsidRDefault="00240B38" w:rsidP="00E06CD9">
      <w:r>
        <w:t xml:space="preserve">SACBO </w:t>
      </w:r>
      <w:proofErr w:type="gramStart"/>
      <w:r>
        <w:tab/>
        <w:t xml:space="preserve">  14</w:t>
      </w:r>
      <w:proofErr w:type="gramEnd"/>
      <w:r>
        <w:t>.788.000</w:t>
      </w:r>
      <w:r>
        <w:tab/>
        <w:t xml:space="preserve">    9.446.000</w:t>
      </w:r>
    </w:p>
    <w:p w14:paraId="4CAD5853" w14:textId="77777777" w:rsidR="00D04A08" w:rsidRDefault="00D04A08" w:rsidP="00E06CD9"/>
    <w:p w14:paraId="09AC6610" w14:textId="77777777" w:rsidR="00D04A08" w:rsidRDefault="00D04A08" w:rsidP="00E06CD9"/>
    <w:p w14:paraId="621BA57E" w14:textId="77777777" w:rsidR="00BB7073" w:rsidRDefault="00BB7073" w:rsidP="00E06CD9"/>
    <w:p w14:paraId="3C53B6C3" w14:textId="1A401A49" w:rsidR="00BB7073" w:rsidRDefault="00FA53A5" w:rsidP="00EB617B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hyperlink r:id="rId10" w:history="1">
        <w:r w:rsidRPr="009C5BDE">
          <w:rPr>
            <w:rStyle w:val="Collegamentoipertestuale"/>
            <w:sz w:val="20"/>
            <w:szCs w:val="20"/>
          </w:rPr>
          <w:t>http://sea16csr.b016.message-asp.com/it/catchment-area</w:t>
        </w:r>
      </w:hyperlink>
    </w:p>
    <w:p w14:paraId="0D016A79" w14:textId="338542D3" w:rsidR="002B5DA6" w:rsidRDefault="002B5DA6" w:rsidP="00EB617B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92A75">
        <w:rPr>
          <w:sz w:val="20"/>
          <w:szCs w:val="20"/>
        </w:rPr>
        <w:t>4 Marzo 2024 “L’eco di Bergamo”</w:t>
      </w:r>
    </w:p>
    <w:p w14:paraId="65F0CB90" w14:textId="76ABFC65" w:rsidR="00EB617B" w:rsidRDefault="00EB617B" w:rsidP="00EB617B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L’anno 2023 si è chiuso per ITA Airways con </w:t>
      </w:r>
      <w:proofErr w:type="gramStart"/>
      <w:r>
        <w:rPr>
          <w:sz w:val="20"/>
          <w:szCs w:val="20"/>
        </w:rPr>
        <w:t>un perdita</w:t>
      </w:r>
      <w:proofErr w:type="gramEnd"/>
      <w:r>
        <w:rPr>
          <w:sz w:val="20"/>
          <w:szCs w:val="20"/>
        </w:rPr>
        <w:t xml:space="preserve"> di 5 milioni di euro.</w:t>
      </w:r>
    </w:p>
    <w:p w14:paraId="6CFB86D4" w14:textId="5B227951" w:rsidR="00240B38" w:rsidRDefault="00EB407C" w:rsidP="00EB617B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Importi espressi in Euro; d</w:t>
      </w:r>
      <w:r w:rsidR="00EB617B">
        <w:rPr>
          <w:sz w:val="20"/>
          <w:szCs w:val="20"/>
        </w:rPr>
        <w:t xml:space="preserve">ati tratti da: </w:t>
      </w:r>
      <w:r w:rsidR="00240B38" w:rsidRPr="00EB617B">
        <w:rPr>
          <w:sz w:val="20"/>
          <w:szCs w:val="20"/>
        </w:rPr>
        <w:t>ADR: pag.86 “Integrated Annual Report 2023</w:t>
      </w:r>
      <w:proofErr w:type="gramStart"/>
      <w:r w:rsidR="00240B38" w:rsidRPr="00EB617B">
        <w:rPr>
          <w:sz w:val="20"/>
          <w:szCs w:val="20"/>
        </w:rPr>
        <w:t>” ,</w:t>
      </w:r>
      <w:proofErr w:type="gramEnd"/>
      <w:r w:rsidR="00240B38" w:rsidRPr="00EB617B">
        <w:rPr>
          <w:sz w:val="20"/>
          <w:szCs w:val="20"/>
        </w:rPr>
        <w:t xml:space="preserve"> Tab.20 ; SEA pag.26 “Annual Report 2023”</w:t>
      </w:r>
      <w:r w:rsidR="00FA53A5" w:rsidRPr="00EB617B">
        <w:rPr>
          <w:sz w:val="20"/>
          <w:szCs w:val="20"/>
        </w:rPr>
        <w:t xml:space="preserve"> ; SACBO pag.39 “Bilancio d’Esercizio 2023”</w:t>
      </w:r>
    </w:p>
    <w:p w14:paraId="7914243F" w14:textId="77777777" w:rsidR="00DB73A7" w:rsidRDefault="00DB73A7" w:rsidP="00DB73A7">
      <w:pPr>
        <w:spacing w:after="0" w:line="240" w:lineRule="auto"/>
        <w:rPr>
          <w:sz w:val="20"/>
          <w:szCs w:val="20"/>
        </w:rPr>
      </w:pPr>
    </w:p>
    <w:p w14:paraId="75229DBF" w14:textId="77777777" w:rsidR="00DB73A7" w:rsidRDefault="00DB73A7" w:rsidP="00DB73A7">
      <w:pPr>
        <w:spacing w:after="0" w:line="240" w:lineRule="auto"/>
        <w:rPr>
          <w:sz w:val="20"/>
          <w:szCs w:val="20"/>
        </w:rPr>
      </w:pPr>
    </w:p>
    <w:p w14:paraId="4C970132" w14:textId="77777777" w:rsidR="00DB73A7" w:rsidRDefault="00DB73A7" w:rsidP="00DB73A7">
      <w:pPr>
        <w:spacing w:after="0" w:line="240" w:lineRule="auto"/>
        <w:rPr>
          <w:sz w:val="20"/>
          <w:szCs w:val="20"/>
        </w:rPr>
      </w:pPr>
    </w:p>
    <w:p w14:paraId="546BD1EC" w14:textId="77777777" w:rsidR="00DB73A7" w:rsidRDefault="00DB73A7" w:rsidP="00DB73A7">
      <w:pPr>
        <w:spacing w:after="0" w:line="240" w:lineRule="auto"/>
        <w:rPr>
          <w:sz w:val="20"/>
          <w:szCs w:val="20"/>
        </w:rPr>
      </w:pPr>
    </w:p>
    <w:p w14:paraId="6B0EC0CF" w14:textId="77777777" w:rsidR="00DB73A7" w:rsidRDefault="00DB73A7" w:rsidP="00DB73A7">
      <w:pPr>
        <w:ind w:left="2832" w:firstLine="708"/>
        <w:rPr>
          <w:b/>
          <w:bCs/>
          <w:i/>
          <w:iCs/>
          <w:color w:val="007BB8"/>
          <w:sz w:val="20"/>
          <w:szCs w:val="20"/>
        </w:rPr>
      </w:pPr>
      <w:r w:rsidRPr="00891A98">
        <w:rPr>
          <w:b/>
          <w:bCs/>
          <w:i/>
          <w:iCs/>
          <w:color w:val="007BB8"/>
          <w:sz w:val="20"/>
          <w:szCs w:val="20"/>
        </w:rPr>
        <w:t>Aviation-Industry-News.com</w:t>
      </w:r>
    </w:p>
    <w:p w14:paraId="3007A2F0" w14:textId="6E7BE9AA" w:rsidR="00DB73A7" w:rsidRPr="00891A98" w:rsidRDefault="0015719F" w:rsidP="00DB73A7">
      <w:pPr>
        <w:rPr>
          <w:i/>
          <w:iCs/>
          <w:color w:val="007BB8"/>
          <w:sz w:val="18"/>
          <w:szCs w:val="18"/>
        </w:rPr>
      </w:pPr>
      <w:r>
        <w:rPr>
          <w:i/>
          <w:iCs/>
          <w:color w:val="007BB8"/>
          <w:sz w:val="18"/>
          <w:szCs w:val="18"/>
        </w:rPr>
        <w:t>13</w:t>
      </w:r>
      <w:r w:rsidR="00DB73A7" w:rsidRPr="00891A98">
        <w:rPr>
          <w:i/>
          <w:iCs/>
          <w:color w:val="007BB8"/>
          <w:sz w:val="18"/>
          <w:szCs w:val="18"/>
        </w:rPr>
        <w:t>/12/2024</w:t>
      </w:r>
    </w:p>
    <w:p w14:paraId="01347F97" w14:textId="77777777" w:rsidR="00DB73A7" w:rsidRDefault="00DB73A7" w:rsidP="00DB73A7"/>
    <w:p w14:paraId="560F6B7E" w14:textId="77777777" w:rsidR="00DB73A7" w:rsidRPr="001F5A33" w:rsidRDefault="00DB73A7" w:rsidP="00DB73A7">
      <w:pPr>
        <w:jc w:val="center"/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gramStart"/>
      <w:r w:rsidRPr="001F5A33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E’</w:t>
      </w:r>
      <w:proofErr w:type="gramEnd"/>
      <w:r w:rsidRPr="001F5A33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uscito il nuovo libro:</w:t>
      </w:r>
    </w:p>
    <w:p w14:paraId="289B9DFD" w14:textId="77777777" w:rsidR="00DB73A7" w:rsidRDefault="00DB73A7" w:rsidP="00DB73A7">
      <w:pPr>
        <w:jc w:val="center"/>
      </w:pPr>
      <w:r w:rsidRPr="001F5A33">
        <w:rPr>
          <w:noProof/>
          <w:sz w:val="18"/>
          <w:szCs w:val="18"/>
        </w:rPr>
        <w:drawing>
          <wp:inline distT="0" distB="0" distL="0" distR="0" wp14:anchorId="79E84B22" wp14:editId="46F8D2B3">
            <wp:extent cx="3538800" cy="4946400"/>
            <wp:effectExtent l="0" t="0" r="5080" b="6985"/>
            <wp:docPr id="11624353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00" cy="4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8B059" w14:textId="77777777" w:rsidR="00DB73A7" w:rsidRDefault="00DB73A7" w:rsidP="00DB73A7"/>
    <w:p w14:paraId="6962446F" w14:textId="77777777" w:rsidR="00DB73A7" w:rsidRDefault="00DB73A7" w:rsidP="00DB73A7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4D0C48A3" wp14:editId="29B60746">
            <wp:extent cx="1778400" cy="1497600"/>
            <wp:effectExtent l="0" t="0" r="0" b="7620"/>
            <wp:docPr id="78424082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40829" name="Immagine 78424082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14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CEA92" w14:textId="77777777" w:rsidR="00ED63BC" w:rsidRDefault="00ED63BC" w:rsidP="00DB73A7">
      <w:pPr>
        <w:jc w:val="center"/>
      </w:pPr>
    </w:p>
    <w:p w14:paraId="664DD9D4" w14:textId="77777777" w:rsidR="00ED63BC" w:rsidRDefault="00ED63BC" w:rsidP="00ED6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SemiCondensed" w:hAnsi="Bahnschrift SemiCondensed"/>
          <w:color w:val="4472C4" w:themeColor="accent1"/>
          <w:sz w:val="24"/>
          <w:szCs w:val="24"/>
        </w:rPr>
      </w:pPr>
      <w:r>
        <w:rPr>
          <w:rFonts w:ascii="Bahnschrift SemiCondensed" w:hAnsi="Bahnschrift SemiCondensed"/>
          <w:color w:val="4472C4" w:themeColor="accent1"/>
          <w:sz w:val="24"/>
          <w:szCs w:val="24"/>
        </w:rPr>
        <w:t xml:space="preserve">INVITIAMO I LETTORI DELLA NOSTRA NEWSLETTER A COMUNICARCI NOMINATIVI INTERESSATI A RICEVERE LA STESSA. L’ABBONAMENTO </w:t>
      </w:r>
      <w:proofErr w:type="gramStart"/>
      <w:r>
        <w:rPr>
          <w:rFonts w:ascii="Bahnschrift SemiCondensed" w:hAnsi="Bahnschrift SemiCondensed"/>
          <w:color w:val="4472C4" w:themeColor="accent1"/>
          <w:sz w:val="24"/>
          <w:szCs w:val="24"/>
        </w:rPr>
        <w:t>E’</w:t>
      </w:r>
      <w:proofErr w:type="gramEnd"/>
      <w:r>
        <w:rPr>
          <w:rFonts w:ascii="Bahnschrift SemiCondensed" w:hAnsi="Bahnschrift SemiCondensed"/>
          <w:color w:val="4472C4" w:themeColor="accent1"/>
          <w:sz w:val="24"/>
          <w:szCs w:val="24"/>
        </w:rPr>
        <w:t xml:space="preserve"> COMPLETAMENTE GRATUITO E PUO’ ESSERE CANCELLATO IN QUALSIASI MOMENTO.</w:t>
      </w:r>
    </w:p>
    <w:p w14:paraId="53AA82D7" w14:textId="77777777" w:rsidR="00ED63BC" w:rsidRPr="00D06176" w:rsidRDefault="00ED63BC" w:rsidP="00ED6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SemiCondensed" w:hAnsi="Bahnschrift SemiCondensed"/>
          <w:color w:val="0563C1" w:themeColor="hyperlink"/>
          <w:sz w:val="24"/>
          <w:szCs w:val="24"/>
          <w:u w:val="single"/>
        </w:rPr>
      </w:pPr>
      <w:r>
        <w:rPr>
          <w:rFonts w:ascii="Bahnschrift SemiCondensed" w:hAnsi="Bahnschrift SemiCondensed"/>
          <w:color w:val="4472C4" w:themeColor="accent1"/>
          <w:sz w:val="24"/>
          <w:szCs w:val="24"/>
        </w:rPr>
        <w:t xml:space="preserve"> INVIARE RICHIESTE A: </w:t>
      </w:r>
      <w:hyperlink r:id="rId13" w:history="1">
        <w:r>
          <w:rPr>
            <w:rStyle w:val="Collegamentoipertestuale"/>
            <w:rFonts w:ascii="Bahnschrift SemiCondensed" w:hAnsi="Bahnschrift SemiCondensed"/>
            <w:sz w:val="24"/>
            <w:szCs w:val="24"/>
          </w:rPr>
          <w:t>antonio.bordoni@yahoo.it</w:t>
        </w:r>
      </w:hyperlink>
    </w:p>
    <w:sectPr w:rsidR="00ED63BC" w:rsidRPr="00D06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26E43"/>
    <w:multiLevelType w:val="hybridMultilevel"/>
    <w:tmpl w:val="27CE5E94"/>
    <w:lvl w:ilvl="0" w:tplc="6B6CAB2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543EF"/>
    <w:multiLevelType w:val="hybridMultilevel"/>
    <w:tmpl w:val="B29A6578"/>
    <w:lvl w:ilvl="0" w:tplc="F4969E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681259">
    <w:abstractNumId w:val="0"/>
  </w:num>
  <w:num w:numId="2" w16cid:durableId="136578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27"/>
    <w:rsid w:val="000001A6"/>
    <w:rsid w:val="0002369C"/>
    <w:rsid w:val="00033B5F"/>
    <w:rsid w:val="00050363"/>
    <w:rsid w:val="00056765"/>
    <w:rsid w:val="00117E71"/>
    <w:rsid w:val="0015719F"/>
    <w:rsid w:val="001F67B8"/>
    <w:rsid w:val="0021612D"/>
    <w:rsid w:val="00240A00"/>
    <w:rsid w:val="00240B38"/>
    <w:rsid w:val="002B5DA6"/>
    <w:rsid w:val="002C5DE5"/>
    <w:rsid w:val="0036099E"/>
    <w:rsid w:val="00456597"/>
    <w:rsid w:val="004A6C7C"/>
    <w:rsid w:val="004D2A23"/>
    <w:rsid w:val="00502227"/>
    <w:rsid w:val="00542966"/>
    <w:rsid w:val="005712AE"/>
    <w:rsid w:val="005A77EE"/>
    <w:rsid w:val="005B0992"/>
    <w:rsid w:val="005C063E"/>
    <w:rsid w:val="005F677A"/>
    <w:rsid w:val="00671FBC"/>
    <w:rsid w:val="006B091D"/>
    <w:rsid w:val="006B7429"/>
    <w:rsid w:val="006D0E11"/>
    <w:rsid w:val="006E0DC2"/>
    <w:rsid w:val="00714733"/>
    <w:rsid w:val="00744C62"/>
    <w:rsid w:val="008748EA"/>
    <w:rsid w:val="008D5B13"/>
    <w:rsid w:val="00923281"/>
    <w:rsid w:val="009265FD"/>
    <w:rsid w:val="009C4525"/>
    <w:rsid w:val="009E3E22"/>
    <w:rsid w:val="00A63DF5"/>
    <w:rsid w:val="00A8420B"/>
    <w:rsid w:val="00A92A75"/>
    <w:rsid w:val="00B060B7"/>
    <w:rsid w:val="00B20372"/>
    <w:rsid w:val="00B43821"/>
    <w:rsid w:val="00B9064F"/>
    <w:rsid w:val="00BB5C5C"/>
    <w:rsid w:val="00BB7073"/>
    <w:rsid w:val="00C31826"/>
    <w:rsid w:val="00CE4821"/>
    <w:rsid w:val="00D04A08"/>
    <w:rsid w:val="00D20DFF"/>
    <w:rsid w:val="00D372C8"/>
    <w:rsid w:val="00DB73A7"/>
    <w:rsid w:val="00E06CD9"/>
    <w:rsid w:val="00EB407C"/>
    <w:rsid w:val="00EB484E"/>
    <w:rsid w:val="00EB617B"/>
    <w:rsid w:val="00ED63BC"/>
    <w:rsid w:val="00F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0102"/>
  <w15:chartTrackingRefBased/>
  <w15:docId w15:val="{F33D337D-A7E9-4E1B-A9B9-A910FF1A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5D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DA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antonio.bordoni@yaho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sea16csr.b016.message-asp.com/it/catchment-are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23</cp:revision>
  <dcterms:created xsi:type="dcterms:W3CDTF">2024-12-10T08:11:00Z</dcterms:created>
  <dcterms:modified xsi:type="dcterms:W3CDTF">2024-12-13T08:29:00Z</dcterms:modified>
</cp:coreProperties>
</file>