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Pr="00961C85" w:rsidRDefault="002427B4" w:rsidP="002427B4">
      <w:pPr>
        <w:rPr>
          <w:b/>
          <w:bCs/>
          <w:i/>
          <w:iCs/>
          <w:color w:val="4472C4" w:themeColor="accent1"/>
          <w:sz w:val="18"/>
          <w:szCs w:val="18"/>
        </w:rPr>
      </w:pPr>
      <w:r w:rsidRPr="00961C85">
        <w:rPr>
          <w:b/>
          <w:bCs/>
          <w:i/>
          <w:iCs/>
          <w:color w:val="4472C4" w:themeColor="accent1"/>
          <w:sz w:val="18"/>
          <w:szCs w:val="18"/>
        </w:rPr>
        <w:t>Aviation Industry News</w:t>
      </w:r>
      <w:r w:rsidR="004B15FD" w:rsidRPr="00961C85">
        <w:rPr>
          <w:b/>
          <w:bCs/>
          <w:i/>
          <w:iCs/>
          <w:color w:val="4472C4" w:themeColor="accent1"/>
          <w:sz w:val="18"/>
          <w:szCs w:val="18"/>
        </w:rPr>
        <w:t xml:space="preserve">    </w:t>
      </w:r>
    </w:p>
    <w:p w14:paraId="1B2598E8" w14:textId="77777777" w:rsidR="00B008EF" w:rsidRDefault="00B008EF" w:rsidP="00B008EF">
      <w:pPr>
        <w:ind w:left="1416" w:firstLine="708"/>
        <w:rPr>
          <w:b/>
          <w:bCs/>
          <w:color w:val="4472C4" w:themeColor="accent1"/>
          <w:sz w:val="28"/>
          <w:szCs w:val="28"/>
        </w:rPr>
      </w:pPr>
      <w:r>
        <w:rPr>
          <w:b/>
          <w:bCs/>
          <w:color w:val="4472C4" w:themeColor="accent1"/>
          <w:sz w:val="28"/>
          <w:szCs w:val="28"/>
        </w:rPr>
        <w:t>ITA AIRWAYS E LA CARICA DEI 77</w:t>
      </w:r>
    </w:p>
    <w:p w14:paraId="0C67C411" w14:textId="77777777" w:rsidR="00B008EF" w:rsidRDefault="00B008EF" w:rsidP="00B008EF">
      <w:pPr>
        <w:pStyle w:val="NormaleWeb"/>
        <w:shd w:val="clear" w:color="auto" w:fill="FFFFFF"/>
        <w:textAlignment w:val="baseline"/>
        <w:rPr>
          <w:rFonts w:asciiTheme="minorHAnsi" w:hAnsiTheme="minorHAnsi" w:cstheme="minorHAnsi"/>
          <w:color w:val="FF0000"/>
          <w:sz w:val="16"/>
          <w:szCs w:val="16"/>
        </w:rPr>
      </w:pPr>
      <w:r>
        <w:rPr>
          <w:rFonts w:asciiTheme="minorHAnsi" w:hAnsiTheme="minorHAnsi" w:cstheme="minorHAnsi"/>
        </w:rPr>
        <w:t xml:space="preserve">Tutti abbiamo preso conoscenza della sentenza della Corte d’Appello del Tribunale di Roma tramite la quale è stato deciso di rigettare il ricorso di ITA </w:t>
      </w:r>
      <w:proofErr w:type="gramStart"/>
      <w:r>
        <w:rPr>
          <w:rFonts w:asciiTheme="minorHAnsi" w:hAnsiTheme="minorHAnsi" w:cstheme="minorHAnsi"/>
        </w:rPr>
        <w:t>Airways  tendente</w:t>
      </w:r>
      <w:proofErr w:type="gramEnd"/>
      <w:r>
        <w:rPr>
          <w:rFonts w:asciiTheme="minorHAnsi" w:hAnsiTheme="minorHAnsi" w:cstheme="minorHAnsi"/>
        </w:rPr>
        <w:t xml:space="preserve"> ad annullare l’esecuzione della sentenza che nel giugno scorso ha imposto il reintegro di 77 ex dipendenti Alitalia. Nel mese di giugno scorso Il giudice del Lavoro di Roma aveva </w:t>
      </w:r>
      <w:proofErr w:type="gramStart"/>
      <w:r>
        <w:rPr>
          <w:rFonts w:asciiTheme="minorHAnsi" w:hAnsiTheme="minorHAnsi" w:cstheme="minorHAnsi"/>
        </w:rPr>
        <w:t>accolto  la</w:t>
      </w:r>
      <w:proofErr w:type="gramEnd"/>
      <w:r>
        <w:rPr>
          <w:rFonts w:asciiTheme="minorHAnsi" w:hAnsiTheme="minorHAnsi" w:cstheme="minorHAnsi"/>
        </w:rPr>
        <w:t xml:space="preserve"> tesi dei 77 ex dipendenti ex Alitalia non riassunti da Ita e ha “</w:t>
      </w:r>
      <w:r>
        <w:rPr>
          <w:rFonts w:asciiTheme="minorHAnsi" w:hAnsiTheme="minorHAnsi" w:cstheme="minorHAnsi"/>
          <w:i/>
          <w:iCs/>
        </w:rPr>
        <w:t>accertato la sussistenza del trasferimento di ramo d’azienda tra Alitalia e Italia Trasporto Aereo verificatosi in attuazione del ‘contratto di cessione del complesso di beni e contratti’ concluso tra le parti in data 14 ottobre 2021”.</w:t>
      </w:r>
      <w:r>
        <w:rPr>
          <w:rFonts w:asciiTheme="minorHAnsi" w:hAnsiTheme="minorHAnsi" w:cstheme="minorHAnsi"/>
        </w:rPr>
        <w:t xml:space="preserve"> Partendo da tale assunto il tribunale aveva dichiarato “</w:t>
      </w:r>
      <w:r>
        <w:rPr>
          <w:rFonts w:asciiTheme="minorHAnsi" w:hAnsiTheme="minorHAnsi" w:cstheme="minorHAnsi"/>
          <w:i/>
          <w:iCs/>
        </w:rPr>
        <w:t>il diritto dei ricorrenti alla prosecuzione del rapporto di lavoro alle dipendenze della società Italia Trasporto Aereo s.p.a. – ITA con decorrenza dal 15 ottobre 2021”</w:t>
      </w:r>
      <w:r>
        <w:rPr>
          <w:rFonts w:asciiTheme="minorHAnsi" w:hAnsiTheme="minorHAnsi" w:cstheme="minorHAnsi"/>
        </w:rPr>
        <w:t xml:space="preserve">, ovvero dalla partenza del nuovo soggetto. </w:t>
      </w:r>
      <w:r>
        <w:rPr>
          <w:rFonts w:asciiTheme="minorHAnsi" w:hAnsiTheme="minorHAnsi" w:cstheme="minorHAnsi"/>
          <w:color w:val="FF0000"/>
          <w:sz w:val="16"/>
          <w:szCs w:val="16"/>
        </w:rPr>
        <w:t>(1)</w:t>
      </w:r>
    </w:p>
    <w:p w14:paraId="03D9741B" w14:textId="77777777" w:rsidR="00B008EF" w:rsidRDefault="00B008EF" w:rsidP="00B008EF">
      <w:pPr>
        <w:rPr>
          <w:sz w:val="24"/>
          <w:szCs w:val="24"/>
          <w:u w:val="single"/>
        </w:rPr>
      </w:pPr>
      <w:r>
        <w:rPr>
          <w:sz w:val="24"/>
          <w:szCs w:val="24"/>
        </w:rPr>
        <w:t xml:space="preserve">Questo inatteso sviluppo è alquanto preoccupante in quanto vanifica uno dei presupposti con cui è stata lanciata la nuova compagnia e soprattutto si voleva che la stessa trovasse quanto prima un vettore con cui convolare a nozze. Ci riferiamo a quella </w:t>
      </w:r>
      <w:r>
        <w:rPr>
          <w:b/>
          <w:bCs/>
          <w:sz w:val="24"/>
          <w:szCs w:val="24"/>
        </w:rPr>
        <w:t>“discontinuità</w:t>
      </w:r>
      <w:r>
        <w:rPr>
          <w:sz w:val="24"/>
          <w:szCs w:val="24"/>
        </w:rPr>
        <w:t xml:space="preserve">” che doveva essere una condizione essenziale per rassicurare il mercato e incoraggiare eventuali investitori a farsi </w:t>
      </w:r>
      <w:proofErr w:type="gramStart"/>
      <w:r>
        <w:rPr>
          <w:sz w:val="24"/>
          <w:szCs w:val="24"/>
        </w:rPr>
        <w:t xml:space="preserve">avanti  </w:t>
      </w:r>
      <w:r>
        <w:rPr>
          <w:sz w:val="24"/>
          <w:szCs w:val="24"/>
          <w:u w:val="single"/>
        </w:rPr>
        <w:t>con</w:t>
      </w:r>
      <w:proofErr w:type="gramEnd"/>
      <w:r>
        <w:rPr>
          <w:sz w:val="24"/>
          <w:szCs w:val="24"/>
          <w:u w:val="single"/>
        </w:rPr>
        <w:t xml:space="preserve"> la certezza che tutti i problemi che la vecchia Alitalia  portava con se venissero completamente azzerati.</w:t>
      </w:r>
    </w:p>
    <w:p w14:paraId="4847DE90" w14:textId="77777777" w:rsidR="00B008EF" w:rsidRDefault="00B008EF" w:rsidP="00B008EF">
      <w:pPr>
        <w:rPr>
          <w:sz w:val="24"/>
          <w:szCs w:val="24"/>
        </w:rPr>
      </w:pPr>
      <w:r>
        <w:rPr>
          <w:sz w:val="24"/>
          <w:szCs w:val="24"/>
        </w:rPr>
        <w:t xml:space="preserve">La domanda quindi che tutti si pongono è quanto le sentenze in questione possano influire sull’operazione attesa entro la fine dell’anno da parte di </w:t>
      </w:r>
      <w:proofErr w:type="gramStart"/>
      <w:r>
        <w:rPr>
          <w:sz w:val="24"/>
          <w:szCs w:val="24"/>
        </w:rPr>
        <w:t>Lufthansa ,</w:t>
      </w:r>
      <w:proofErr w:type="gramEnd"/>
      <w:r>
        <w:rPr>
          <w:sz w:val="24"/>
          <w:szCs w:val="24"/>
        </w:rPr>
        <w:t xml:space="preserve"> la quale dovrebbe acquistare il 41% di Ita, a fronte di un assegno da 325 milioni.  </w:t>
      </w:r>
    </w:p>
    <w:p w14:paraId="08322158" w14:textId="77777777" w:rsidR="00B008EF" w:rsidRDefault="00B008EF" w:rsidP="00B008EF">
      <w:pPr>
        <w:rPr>
          <w:sz w:val="24"/>
          <w:szCs w:val="24"/>
        </w:rPr>
      </w:pPr>
      <w:r>
        <w:rPr>
          <w:sz w:val="24"/>
          <w:szCs w:val="24"/>
        </w:rPr>
        <w:t>Da fonti giornalistiche si è appreso che ad oggi la ITA ha avuto 34 sentenze favorevoli (relative a complessivi 775 ricorrenti) e una sola contraria (77 ricorrenti, di cui 7 hanno rinunciato al giudizio) e pertanto la compagnia sarebbe alquanto tranquilla poiché la giurisprudenza maggioritaria ha affermato il principio di discontinuità tra ITA e Alitalia.</w:t>
      </w:r>
    </w:p>
    <w:p w14:paraId="0635D715" w14:textId="77777777" w:rsidR="00B008EF" w:rsidRDefault="00B008EF" w:rsidP="00B008EF">
      <w:pPr>
        <w:rPr>
          <w:sz w:val="24"/>
          <w:szCs w:val="24"/>
        </w:rPr>
      </w:pPr>
      <w:r>
        <w:rPr>
          <w:sz w:val="24"/>
          <w:szCs w:val="24"/>
        </w:rPr>
        <w:t>Di fatto si contrappongono due verità.  Se da un lato la Commissione Europea ha permesso la ripartenza di Ita in discontinuità con Alitalia, dall’altro troviamo i giudici del lavoro che con le loro sentenze sostengono che invece fra le due compagnie sussiste un filo comune.</w:t>
      </w:r>
    </w:p>
    <w:p w14:paraId="5A88F740" w14:textId="77777777" w:rsidR="00B008EF" w:rsidRDefault="00B008EF" w:rsidP="00B008EF">
      <w:pPr>
        <w:rPr>
          <w:sz w:val="24"/>
          <w:szCs w:val="24"/>
        </w:rPr>
      </w:pPr>
      <w:r>
        <w:rPr>
          <w:sz w:val="24"/>
          <w:szCs w:val="24"/>
        </w:rPr>
        <w:t xml:space="preserve">Da parte di LH per il momento nessun commento ma non è difficile immaginare che ai vertici della compagnia tedesca il fatto che giudici italiani sostengano il contrario di quanto invece ha pronunciato la UE non può non </w:t>
      </w:r>
      <w:proofErr w:type="gramStart"/>
      <w:r>
        <w:rPr>
          <w:sz w:val="24"/>
          <w:szCs w:val="24"/>
        </w:rPr>
        <w:t>gettare  ombre</w:t>
      </w:r>
      <w:proofErr w:type="gramEnd"/>
      <w:r>
        <w:rPr>
          <w:sz w:val="24"/>
          <w:szCs w:val="24"/>
        </w:rPr>
        <w:t xml:space="preserve"> sinistre sull’atteso accordo.</w:t>
      </w:r>
    </w:p>
    <w:p w14:paraId="53823C0C" w14:textId="77777777" w:rsidR="00B008EF" w:rsidRDefault="00B008EF" w:rsidP="00B008EF">
      <w:pPr>
        <w:rPr>
          <w:sz w:val="24"/>
          <w:szCs w:val="24"/>
        </w:rPr>
      </w:pPr>
      <w:r>
        <w:rPr>
          <w:sz w:val="24"/>
          <w:szCs w:val="24"/>
        </w:rPr>
        <w:t>Una cosa pare comunque certa: Ita Airways ha bisogno di un partner industriale, ha bisogno di unire le sue modeste forze a quelle di un altro vettore di peso. L’appartenenza a Skyteam non è servita ad Alitalia a risolvere la sua crisi così come non sarà sufficiente a far decollare Ita Airways. O Francoforte o Parigi, altre vie per uscire dall’impasse non ve ne sono.</w:t>
      </w:r>
    </w:p>
    <w:p w14:paraId="4646847B" w14:textId="77777777" w:rsidR="00B008EF" w:rsidRDefault="00B008EF" w:rsidP="00B008EF">
      <w:pPr>
        <w:rPr>
          <w:sz w:val="24"/>
          <w:szCs w:val="24"/>
        </w:rPr>
      </w:pPr>
      <w:r>
        <w:rPr>
          <w:sz w:val="24"/>
          <w:szCs w:val="24"/>
        </w:rPr>
        <w:t>Gli analisti sono in attesa di una importante comunicazione: i risultati relativi al terzo trimestre (</w:t>
      </w:r>
      <w:proofErr w:type="gramStart"/>
      <w:r>
        <w:rPr>
          <w:sz w:val="24"/>
          <w:szCs w:val="24"/>
        </w:rPr>
        <w:t>lug:set</w:t>
      </w:r>
      <w:proofErr w:type="gramEnd"/>
      <w:r>
        <w:rPr>
          <w:sz w:val="24"/>
          <w:szCs w:val="24"/>
        </w:rPr>
        <w:t>) di ITA. Come abbiamo avuto già modo di scrivere in precedenti newsletter, nel Piano Industriale 2021-2025 presentato al varo di Ita è previsto il pareggio operativo da raggiungere entro il III° trimestre 2023.</w:t>
      </w:r>
    </w:p>
    <w:p w14:paraId="1A5540A5" w14:textId="77777777" w:rsidR="00B008EF" w:rsidRDefault="00B008EF" w:rsidP="00B008EF">
      <w:pPr>
        <w:rPr>
          <w:sz w:val="24"/>
          <w:szCs w:val="24"/>
        </w:rPr>
      </w:pPr>
      <w:r>
        <w:rPr>
          <w:sz w:val="24"/>
          <w:szCs w:val="24"/>
        </w:rPr>
        <w:lastRenderedPageBreak/>
        <w:t>Sempre avendo presente l’imminente accordo c’è da augurarsi che almeno questa previsione non venga delusa.</w:t>
      </w:r>
    </w:p>
    <w:p w14:paraId="539DCB3D" w14:textId="2A6DBFE2" w:rsidR="00B008EF" w:rsidRDefault="00B008EF" w:rsidP="00B008EF">
      <w:pPr>
        <w:jc w:val="center"/>
        <w:rPr>
          <w:sz w:val="24"/>
          <w:szCs w:val="24"/>
        </w:rPr>
      </w:pPr>
      <w:r>
        <w:rPr>
          <w:noProof/>
          <w:sz w:val="24"/>
          <w:szCs w:val="24"/>
          <w:bdr w:val="single" w:sz="12" w:space="0" w:color="auto" w:frame="1"/>
        </w:rPr>
        <w:drawing>
          <wp:inline distT="0" distB="0" distL="0" distR="0" wp14:anchorId="43F14D0C" wp14:editId="02E1C5CB">
            <wp:extent cx="4781550" cy="1790700"/>
            <wp:effectExtent l="0" t="0" r="0" b="0"/>
            <wp:docPr id="1330125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1790700"/>
                    </a:xfrm>
                    <a:prstGeom prst="rect">
                      <a:avLst/>
                    </a:prstGeom>
                    <a:noFill/>
                    <a:ln>
                      <a:noFill/>
                    </a:ln>
                  </pic:spPr>
                </pic:pic>
              </a:graphicData>
            </a:graphic>
          </wp:inline>
        </w:drawing>
      </w:r>
    </w:p>
    <w:p w14:paraId="678AC012" w14:textId="77777777" w:rsidR="00B008EF" w:rsidRDefault="00B008EF" w:rsidP="00B008EF">
      <w:pPr>
        <w:ind w:left="2124" w:firstLine="708"/>
        <w:rPr>
          <w:i/>
          <w:iCs/>
          <w:sz w:val="18"/>
          <w:szCs w:val="18"/>
        </w:rPr>
      </w:pPr>
      <w:r>
        <w:rPr>
          <w:i/>
          <w:iCs/>
          <w:sz w:val="18"/>
          <w:szCs w:val="18"/>
        </w:rPr>
        <w:t>Dalla pagina 5 del Piano Industriale 2021-2025</w:t>
      </w:r>
    </w:p>
    <w:p w14:paraId="50F7555E" w14:textId="77777777" w:rsidR="00B008EF" w:rsidRDefault="00B008EF" w:rsidP="00B008EF">
      <w:pPr>
        <w:pStyle w:val="NormaleWeb"/>
        <w:numPr>
          <w:ilvl w:val="0"/>
          <w:numId w:val="5"/>
        </w:numPr>
        <w:shd w:val="clear" w:color="auto" w:fill="FFFFFF"/>
        <w:textAlignment w:val="baseline"/>
        <w:rPr>
          <w:rFonts w:asciiTheme="minorHAnsi" w:hAnsiTheme="minorHAnsi" w:cstheme="minorHAnsi"/>
          <w:sz w:val="20"/>
          <w:szCs w:val="20"/>
        </w:rPr>
      </w:pPr>
      <w:r>
        <w:rPr>
          <w:rFonts w:asciiTheme="minorHAnsi" w:hAnsiTheme="minorHAnsi" w:cstheme="minorHAnsi"/>
          <w:sz w:val="20"/>
          <w:szCs w:val="20"/>
        </w:rPr>
        <w:t xml:space="preserve">In quella stessa sentenza di giugno 2023 si precisava </w:t>
      </w:r>
      <w:proofErr w:type="gramStart"/>
      <w:r>
        <w:rPr>
          <w:rFonts w:asciiTheme="minorHAnsi" w:hAnsiTheme="minorHAnsi" w:cstheme="minorHAnsi"/>
          <w:sz w:val="20"/>
          <w:szCs w:val="20"/>
        </w:rPr>
        <w:t>anche  che</w:t>
      </w:r>
      <w:proofErr w:type="gramEnd"/>
      <w:r>
        <w:rPr>
          <w:rFonts w:asciiTheme="minorHAnsi" w:hAnsiTheme="minorHAnsi" w:cstheme="minorHAnsi"/>
          <w:sz w:val="20"/>
          <w:szCs w:val="20"/>
        </w:rPr>
        <w:t xml:space="preserve"> il giudice del Lavoro “condanna la società convenuta al pagamento ai ricorrenti delle retribuzioni maturate dalla decorrenza sempre del 15 ottobre 2021”, quindi ITA dovrà ai ricorrenti un anno e mezzo di stipendi arretrati.</w:t>
      </w:r>
    </w:p>
    <w:p w14:paraId="5450B394" w14:textId="77777777" w:rsidR="00B008EF" w:rsidRDefault="00B008EF" w:rsidP="00B008EF">
      <w:pPr>
        <w:pStyle w:val="NormaleWeb"/>
        <w:shd w:val="clear" w:color="auto" w:fill="FFFFFF"/>
        <w:textAlignment w:val="baseline"/>
        <w:rPr>
          <w:rFonts w:asciiTheme="minorHAnsi" w:hAnsiTheme="minorHAnsi" w:cstheme="minorHAnsi"/>
          <w:sz w:val="20"/>
          <w:szCs w:val="20"/>
        </w:rPr>
      </w:pPr>
    </w:p>
    <w:p w14:paraId="022B36CA" w14:textId="2770B5D3" w:rsidR="00B008EF" w:rsidRPr="00B008EF" w:rsidRDefault="00B008EF" w:rsidP="00B008EF">
      <w:pPr>
        <w:pStyle w:val="NormaleWeb"/>
        <w:shd w:val="clear" w:color="auto" w:fill="FFFFFF"/>
        <w:textAlignment w:val="baseline"/>
        <w:rPr>
          <w:rFonts w:asciiTheme="minorHAnsi" w:hAnsiTheme="minorHAnsi" w:cstheme="minorHAnsi"/>
          <w:i/>
          <w:iCs/>
          <w:sz w:val="18"/>
          <w:szCs w:val="18"/>
        </w:rPr>
      </w:pPr>
      <w:r>
        <w:rPr>
          <w:rFonts w:asciiTheme="minorHAnsi" w:hAnsiTheme="minorHAnsi" w:cstheme="minorHAnsi"/>
          <w:i/>
          <w:iCs/>
          <w:sz w:val="18"/>
          <w:szCs w:val="18"/>
        </w:rPr>
        <w:t>21/10/2023</w:t>
      </w:r>
    </w:p>
    <w:p w14:paraId="3B92E764" w14:textId="77777777" w:rsidR="00B008EF" w:rsidRDefault="00B008EF" w:rsidP="00B008EF">
      <w:pPr>
        <w:ind w:left="360"/>
        <w:rPr>
          <w:sz w:val="20"/>
          <w:szCs w:val="20"/>
        </w:rPr>
      </w:pPr>
    </w:p>
    <w:p w14:paraId="0DC3C4EB" w14:textId="77777777" w:rsidR="00B008EF" w:rsidRDefault="00B008EF" w:rsidP="00B008EF"/>
    <w:p w14:paraId="0FD85735" w14:textId="77777777" w:rsidR="00FF1DCA" w:rsidRDefault="00FF1DCA" w:rsidP="00FF1DCA">
      <w:pPr>
        <w:spacing w:line="240" w:lineRule="auto"/>
        <w:rPr>
          <w:rFonts w:cstheme="minorHAnsi"/>
          <w:i/>
          <w:iCs/>
          <w:sz w:val="18"/>
          <w:szCs w:val="18"/>
        </w:rPr>
      </w:pPr>
    </w:p>
    <w:p w14:paraId="799648F1" w14:textId="4AE58491" w:rsidR="00FF1DCA" w:rsidRPr="0086200B" w:rsidRDefault="00FF1DCA" w:rsidP="00FF1DCA">
      <w:pPr>
        <w:spacing w:line="240" w:lineRule="auto"/>
        <w:rPr>
          <w:rFonts w:cstheme="minorHAnsi"/>
          <w:b/>
          <w:bCs/>
          <w:i/>
          <w:iCs/>
          <w:color w:val="4472C4" w:themeColor="accent1"/>
          <w:sz w:val="18"/>
          <w:szCs w:val="18"/>
        </w:rPr>
      </w:pP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sidR="00662D69">
        <w:rPr>
          <w:rFonts w:cstheme="minorHAnsi"/>
          <w:i/>
          <w:iCs/>
          <w:sz w:val="18"/>
          <w:szCs w:val="18"/>
        </w:rPr>
        <w:t xml:space="preserve">       </w:t>
      </w:r>
      <w:r w:rsidRPr="0086200B">
        <w:rPr>
          <w:rFonts w:cstheme="minorHAnsi"/>
          <w:b/>
          <w:bCs/>
          <w:i/>
          <w:iCs/>
          <w:color w:val="4472C4" w:themeColor="accent1"/>
          <w:sz w:val="18"/>
          <w:szCs w:val="18"/>
        </w:rPr>
        <w:t>www.Aviation-Industry-News.com</w:t>
      </w:r>
    </w:p>
    <w:p w14:paraId="1D9F0097" w14:textId="77777777" w:rsidR="006F2765" w:rsidRDefault="006F2765" w:rsidP="0028180A">
      <w:pPr>
        <w:rPr>
          <w:color w:val="4472C4" w:themeColor="accent1"/>
          <w:sz w:val="16"/>
          <w:szCs w:val="16"/>
        </w:rPr>
      </w:pPr>
    </w:p>
    <w:p w14:paraId="22A61D5C" w14:textId="77777777" w:rsidR="006F2765" w:rsidRDefault="006F2765" w:rsidP="0028180A">
      <w:pPr>
        <w:rPr>
          <w:color w:val="4472C4" w:themeColor="accent1"/>
          <w:sz w:val="16"/>
          <w:szCs w:val="16"/>
        </w:rPr>
      </w:pPr>
    </w:p>
    <w:p w14:paraId="04846324" w14:textId="77777777" w:rsidR="00F66532" w:rsidRDefault="00F66532" w:rsidP="0028180A">
      <w:pPr>
        <w:rPr>
          <w:color w:val="4472C4" w:themeColor="accent1"/>
          <w:sz w:val="16"/>
          <w:szCs w:val="16"/>
        </w:rPr>
      </w:pPr>
    </w:p>
    <w:p w14:paraId="436ACD7F" w14:textId="77777777" w:rsidR="00F66532" w:rsidRDefault="00F66532" w:rsidP="0028180A">
      <w:pPr>
        <w:rPr>
          <w:color w:val="4472C4" w:themeColor="accent1"/>
          <w:sz w:val="16"/>
          <w:szCs w:val="16"/>
        </w:rPr>
      </w:pPr>
    </w:p>
    <w:p w14:paraId="6A0DF543" w14:textId="77777777" w:rsidR="00F66532" w:rsidRDefault="00F66532" w:rsidP="0028180A">
      <w:pPr>
        <w:rPr>
          <w:color w:val="4472C4" w:themeColor="accent1"/>
          <w:sz w:val="16"/>
          <w:szCs w:val="16"/>
        </w:rPr>
      </w:pPr>
    </w:p>
    <w:p w14:paraId="37605862" w14:textId="77777777" w:rsidR="00F66532" w:rsidRDefault="00F66532" w:rsidP="0028180A">
      <w:pPr>
        <w:rPr>
          <w:color w:val="4472C4" w:themeColor="accent1"/>
          <w:sz w:val="16"/>
          <w:szCs w:val="16"/>
        </w:rPr>
      </w:pPr>
    </w:p>
    <w:p w14:paraId="4B59FD05" w14:textId="77777777" w:rsidR="00F66532" w:rsidRDefault="00F66532" w:rsidP="0028180A">
      <w:pPr>
        <w:rPr>
          <w:color w:val="4472C4" w:themeColor="accent1"/>
          <w:sz w:val="16"/>
          <w:szCs w:val="16"/>
        </w:rPr>
      </w:pPr>
    </w:p>
    <w:p w14:paraId="502639BD" w14:textId="77777777" w:rsidR="00F66532" w:rsidRDefault="00F66532" w:rsidP="0028180A">
      <w:pPr>
        <w:rPr>
          <w:color w:val="4472C4" w:themeColor="accent1"/>
          <w:sz w:val="16"/>
          <w:szCs w:val="16"/>
        </w:rPr>
      </w:pPr>
    </w:p>
    <w:p w14:paraId="41D48742" w14:textId="77777777" w:rsidR="00F66532" w:rsidRDefault="00F66532" w:rsidP="0028180A">
      <w:pPr>
        <w:rPr>
          <w:color w:val="4472C4" w:themeColor="accent1"/>
          <w:sz w:val="16"/>
          <w:szCs w:val="16"/>
        </w:rPr>
      </w:pPr>
    </w:p>
    <w:p w14:paraId="4C338893" w14:textId="77777777" w:rsidR="00B008EF" w:rsidRDefault="00B008EF" w:rsidP="0028180A">
      <w:pPr>
        <w:rPr>
          <w:color w:val="4472C4" w:themeColor="accent1"/>
          <w:sz w:val="16"/>
          <w:szCs w:val="16"/>
        </w:rPr>
      </w:pPr>
    </w:p>
    <w:p w14:paraId="7C927ADB" w14:textId="77777777" w:rsidR="00B008EF" w:rsidRDefault="00B008EF" w:rsidP="0028180A">
      <w:pPr>
        <w:rPr>
          <w:color w:val="4472C4" w:themeColor="accent1"/>
          <w:sz w:val="16"/>
          <w:szCs w:val="16"/>
        </w:rPr>
      </w:pPr>
    </w:p>
    <w:p w14:paraId="3F5653B1" w14:textId="77777777" w:rsidR="00B008EF" w:rsidRDefault="00B008EF" w:rsidP="0028180A">
      <w:pPr>
        <w:rPr>
          <w:color w:val="4472C4" w:themeColor="accent1"/>
          <w:sz w:val="16"/>
          <w:szCs w:val="16"/>
        </w:rPr>
      </w:pPr>
    </w:p>
    <w:p w14:paraId="25223349" w14:textId="77777777" w:rsidR="00F66532" w:rsidRDefault="00F66532" w:rsidP="0028180A">
      <w:pPr>
        <w:rPr>
          <w:color w:val="4472C4" w:themeColor="accent1"/>
          <w:sz w:val="16"/>
          <w:szCs w:val="16"/>
        </w:rPr>
      </w:pPr>
    </w:p>
    <w:p w14:paraId="6E0B55CD" w14:textId="77777777" w:rsidR="00F66532" w:rsidRDefault="00F66532" w:rsidP="0028180A">
      <w:pPr>
        <w:rPr>
          <w:color w:val="4472C4" w:themeColor="accent1"/>
          <w:sz w:val="16"/>
          <w:szCs w:val="16"/>
        </w:rPr>
      </w:pPr>
    </w:p>
    <w:p w14:paraId="23677CFB" w14:textId="77777777" w:rsidR="00F66532" w:rsidRDefault="00F66532" w:rsidP="0028180A">
      <w:pPr>
        <w:rPr>
          <w:color w:val="4472C4" w:themeColor="accent1"/>
          <w:sz w:val="16"/>
          <w:szCs w:val="16"/>
        </w:rPr>
      </w:pPr>
    </w:p>
    <w:p w14:paraId="2E3B8CFC" w14:textId="77777777" w:rsidR="00F66532" w:rsidRDefault="00F66532"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lastRenderedPageBreak/>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7"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35"/>
    <w:multiLevelType w:val="hybridMultilevel"/>
    <w:tmpl w:val="AE94CF7A"/>
    <w:lvl w:ilvl="0" w:tplc="69AC60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E074A4"/>
    <w:multiLevelType w:val="hybridMultilevel"/>
    <w:tmpl w:val="B5CC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FF22CB"/>
    <w:multiLevelType w:val="hybridMultilevel"/>
    <w:tmpl w:val="83164364"/>
    <w:lvl w:ilvl="0" w:tplc="9BD004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1F375C"/>
    <w:multiLevelType w:val="hybridMultilevel"/>
    <w:tmpl w:val="3A566400"/>
    <w:lvl w:ilvl="0" w:tplc="0DE0AB04">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4"/>
  </w:num>
  <w:num w:numId="2" w16cid:durableId="2073500898">
    <w:abstractNumId w:val="1"/>
  </w:num>
  <w:num w:numId="3" w16cid:durableId="393969284">
    <w:abstractNumId w:val="2"/>
  </w:num>
  <w:num w:numId="4" w16cid:durableId="684986183">
    <w:abstractNumId w:val="0"/>
  </w:num>
  <w:num w:numId="5" w16cid:durableId="1084185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A5BF4"/>
    <w:rsid w:val="001B2550"/>
    <w:rsid w:val="001D7046"/>
    <w:rsid w:val="001E5880"/>
    <w:rsid w:val="001F3837"/>
    <w:rsid w:val="002031B7"/>
    <w:rsid w:val="00227652"/>
    <w:rsid w:val="002427B4"/>
    <w:rsid w:val="0025011E"/>
    <w:rsid w:val="00250A9F"/>
    <w:rsid w:val="00270D2F"/>
    <w:rsid w:val="0028180A"/>
    <w:rsid w:val="002835DB"/>
    <w:rsid w:val="00293B0A"/>
    <w:rsid w:val="002E76C5"/>
    <w:rsid w:val="00303E59"/>
    <w:rsid w:val="00305DF3"/>
    <w:rsid w:val="00342217"/>
    <w:rsid w:val="003463F7"/>
    <w:rsid w:val="00347A14"/>
    <w:rsid w:val="0035131B"/>
    <w:rsid w:val="003557DD"/>
    <w:rsid w:val="0036041D"/>
    <w:rsid w:val="00391C28"/>
    <w:rsid w:val="003C1DC9"/>
    <w:rsid w:val="003D1358"/>
    <w:rsid w:val="003E1682"/>
    <w:rsid w:val="00417C0C"/>
    <w:rsid w:val="00425259"/>
    <w:rsid w:val="00447F8E"/>
    <w:rsid w:val="00451408"/>
    <w:rsid w:val="00456597"/>
    <w:rsid w:val="00496635"/>
    <w:rsid w:val="004A6F6A"/>
    <w:rsid w:val="004B154E"/>
    <w:rsid w:val="004B15FD"/>
    <w:rsid w:val="004D2A23"/>
    <w:rsid w:val="005041F5"/>
    <w:rsid w:val="00511FCC"/>
    <w:rsid w:val="00516C1A"/>
    <w:rsid w:val="005439D4"/>
    <w:rsid w:val="00543E08"/>
    <w:rsid w:val="00562A27"/>
    <w:rsid w:val="005919F0"/>
    <w:rsid w:val="005955F6"/>
    <w:rsid w:val="00596278"/>
    <w:rsid w:val="005967D3"/>
    <w:rsid w:val="005D0413"/>
    <w:rsid w:val="005F677A"/>
    <w:rsid w:val="00635194"/>
    <w:rsid w:val="00637050"/>
    <w:rsid w:val="00662D69"/>
    <w:rsid w:val="00665DFF"/>
    <w:rsid w:val="006700E6"/>
    <w:rsid w:val="0067240B"/>
    <w:rsid w:val="006B4945"/>
    <w:rsid w:val="006F2765"/>
    <w:rsid w:val="00711302"/>
    <w:rsid w:val="007303B4"/>
    <w:rsid w:val="00747975"/>
    <w:rsid w:val="007547A0"/>
    <w:rsid w:val="0075671A"/>
    <w:rsid w:val="00762407"/>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5450B"/>
    <w:rsid w:val="00961C85"/>
    <w:rsid w:val="00961F4A"/>
    <w:rsid w:val="0097133F"/>
    <w:rsid w:val="00975D54"/>
    <w:rsid w:val="00976E63"/>
    <w:rsid w:val="0098224B"/>
    <w:rsid w:val="009B2D4D"/>
    <w:rsid w:val="009C6F4B"/>
    <w:rsid w:val="009D0FD1"/>
    <w:rsid w:val="009F5359"/>
    <w:rsid w:val="00A00F6F"/>
    <w:rsid w:val="00A108FF"/>
    <w:rsid w:val="00A21B20"/>
    <w:rsid w:val="00A47B38"/>
    <w:rsid w:val="00A555D8"/>
    <w:rsid w:val="00A57D36"/>
    <w:rsid w:val="00A832DE"/>
    <w:rsid w:val="00A86A7A"/>
    <w:rsid w:val="00AA4524"/>
    <w:rsid w:val="00AB6B88"/>
    <w:rsid w:val="00AC3138"/>
    <w:rsid w:val="00AE3789"/>
    <w:rsid w:val="00AE527E"/>
    <w:rsid w:val="00AE7206"/>
    <w:rsid w:val="00AF27D3"/>
    <w:rsid w:val="00B008EF"/>
    <w:rsid w:val="00B1252E"/>
    <w:rsid w:val="00B21B01"/>
    <w:rsid w:val="00B459E5"/>
    <w:rsid w:val="00B86659"/>
    <w:rsid w:val="00B97828"/>
    <w:rsid w:val="00BB487F"/>
    <w:rsid w:val="00BB5C5C"/>
    <w:rsid w:val="00BC5DCF"/>
    <w:rsid w:val="00C06A07"/>
    <w:rsid w:val="00C06F3B"/>
    <w:rsid w:val="00C107B3"/>
    <w:rsid w:val="00C31826"/>
    <w:rsid w:val="00C624AC"/>
    <w:rsid w:val="00C62814"/>
    <w:rsid w:val="00C67166"/>
    <w:rsid w:val="00C90D97"/>
    <w:rsid w:val="00CA0D26"/>
    <w:rsid w:val="00CB22BA"/>
    <w:rsid w:val="00CB7871"/>
    <w:rsid w:val="00CF6408"/>
    <w:rsid w:val="00D42B5A"/>
    <w:rsid w:val="00D4417C"/>
    <w:rsid w:val="00D5060A"/>
    <w:rsid w:val="00D619E0"/>
    <w:rsid w:val="00D70D97"/>
    <w:rsid w:val="00D868B3"/>
    <w:rsid w:val="00DB198D"/>
    <w:rsid w:val="00DF2D4D"/>
    <w:rsid w:val="00DF7865"/>
    <w:rsid w:val="00E051C3"/>
    <w:rsid w:val="00E22C78"/>
    <w:rsid w:val="00E27147"/>
    <w:rsid w:val="00E420B5"/>
    <w:rsid w:val="00EB2A7E"/>
    <w:rsid w:val="00EB5880"/>
    <w:rsid w:val="00EB68DB"/>
    <w:rsid w:val="00EC76F8"/>
    <w:rsid w:val="00EE792F"/>
    <w:rsid w:val="00EF06F6"/>
    <w:rsid w:val="00F23C65"/>
    <w:rsid w:val="00F426D0"/>
    <w:rsid w:val="00F54695"/>
    <w:rsid w:val="00F54EC7"/>
    <w:rsid w:val="00F61F0B"/>
    <w:rsid w:val="00F66532"/>
    <w:rsid w:val="00F70C0B"/>
    <w:rsid w:val="00F73655"/>
    <w:rsid w:val="00F770FB"/>
    <w:rsid w:val="00F866D1"/>
    <w:rsid w:val="00F91F38"/>
    <w:rsid w:val="00FA7668"/>
    <w:rsid w:val="00FC1574"/>
    <w:rsid w:val="00FD7B1C"/>
    <w:rsid w:val="00FF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 w:type="paragraph" w:styleId="NormaleWeb">
    <w:name w:val="Normal (Web)"/>
    <w:basedOn w:val="Normale"/>
    <w:uiPriority w:val="99"/>
    <w:semiHidden/>
    <w:unhideWhenUsed/>
    <w:rsid w:val="00B008E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bnedit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cp:revision>
  <dcterms:created xsi:type="dcterms:W3CDTF">2023-10-21T16:44:00Z</dcterms:created>
  <dcterms:modified xsi:type="dcterms:W3CDTF">2023-10-21T16:46:00Z</dcterms:modified>
</cp:coreProperties>
</file>